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26"/>
          <w:szCs w:val="26"/>
        </w:rPr>
        <w:t xml:space="preserve">RECURSO DE REPOSICIÓN CONTRA LIQUIDACIÓN</w:t>
      </w:r>
    </w:p>
    <w:p>
      <w:pPr>
        <w:spacing w:after="120"/>
        <w:jc w:val="center"/>
      </w:pPr>
      <w:r>
        <w:rPr>
          <w:rFonts w:ascii="Calibri" w:cs="Calibri" w:eastAsia="Calibri" w:hAnsi="Calibri"/>
          <w:b/>
          <w:bCs/>
          <w:sz w:val="22"/>
          <w:szCs w:val="22"/>
        </w:rPr>
        <w:t xml:space="preserve">DE LA “TASA DE RESIDUOS DOMÉSTICOS” — AYUNTAMIENTO DE VÉLEZ-MÁLAGA</w:t>
      </w:r>
    </w:p>
    <w:p>
      <w:pPr>
        <w:spacing w:after="200" w:before="0"/>
      </w:pPr>
      <w:r>
        <w:rPr>
          <w:rFonts w:ascii="Calibri" w:cs="Calibri" w:eastAsia="Calibri" w:hAnsi="Calibri"/>
          <w:b w:val="false"/>
          <w:bCs w:val="false"/>
          <w:i w:val="false"/>
          <w:iCs w:val="false"/>
          <w:sz w:val="22"/>
          <w:szCs w:val="22"/>
        </w:rPr>
        <w:t xml:space="preserve"/>
      </w:r>
    </w:p>
    <w:p>
      <w:pPr>
        <w:spacing w:after="300" w:before="0"/>
      </w:pPr>
      <w:r>
        <w:rPr>
          <w:rFonts w:ascii="Calibri" w:cs="Calibri" w:eastAsia="Calibri" w:hAnsi="Calibri"/>
          <w:b/>
          <w:bCs/>
          <w:i w:val="false"/>
          <w:iCs w:val="false"/>
          <w:sz w:val="22"/>
          <w:szCs w:val="22"/>
        </w:rPr>
        <w:t xml:space="preserve">A LA PRESIDENCIA / GERENCIA DEL PATRONATO DE RECAUDACIÓN PROVINCIAL DE MÁLAGA</w:t>
      </w:r>
      <w:r>
        <w:rPr>
          <w:rFonts w:ascii="Calibri" w:cs="Calibri" w:eastAsia="Calibri" w:hAnsi="Calibri"/>
          <w:b w:val="false"/>
          <w:bCs w:val="false"/>
          <w:i w:val="false"/>
          <w:iCs w:val="false"/>
          <w:sz w:val="22"/>
          <w:szCs w:val="22"/>
        </w:rPr>
        <w:t xml:space="preserve"> (Agencia Pública de Servicios Económicos Provinciales de Málaga), en su condición de órgano de gestión tributaria, recaudatoria y resolutorio de recursos delegado por el Excmo. Ayuntamiento de Vélez-Málaga en materia de la Tasa por la prestación del servicio de recogida, transporte y tratamiento de residuos sólidos urbanos domésticos.</w:t>
      </w:r>
    </w:p>
    <w:p>
      <w:pPr>
        <w:spacing w:after="300" w:before="0"/>
      </w:pPr>
      <w:r>
        <w:rPr>
          <w:rFonts w:ascii="Calibri" w:cs="Calibri" w:eastAsia="Calibri" w:hAnsi="Calibri"/>
          <w:b w:val="false"/>
          <w:bCs w:val="false"/>
          <w:i w:val="false"/>
          <w:iCs w:val="false"/>
          <w:sz w:val="22"/>
          <w:szCs w:val="22"/>
        </w:rPr>
        <w:t xml:space="preserve">D./D.ª </w:t>
      </w:r>
      <w:r>
        <w:rPr>
          <w:rFonts w:ascii="Calibri" w:cs="Calibri" w:eastAsia="Calibri" w:hAnsi="Calibri"/>
          <w:b/>
          <w:bCs/>
          <w:i w:val="false"/>
          <w:iCs w:val="false"/>
          <w:sz w:val="22"/>
          <w:szCs w:val="22"/>
        </w:rPr>
        <w:t xml:space="preserve">[NOMBRE Y APELLIDOS COMPLETOS]</w:t>
      </w:r>
      <w:r>
        <w:rPr>
          <w:rFonts w:ascii="Calibri" w:cs="Calibri" w:eastAsia="Calibri" w:hAnsi="Calibri"/>
          <w:b w:val="false"/>
          <w:bCs w:val="false"/>
          <w:i w:val="false"/>
          <w:iCs w:val="false"/>
          <w:sz w:val="22"/>
          <w:szCs w:val="22"/>
        </w:rPr>
        <w:t xml:space="preserve">, mayor de edad, con DNI/NIE Nº: </w:t>
      </w:r>
      <w:r>
        <w:rPr>
          <w:rFonts w:ascii="Calibri" w:cs="Calibri" w:eastAsia="Calibri" w:hAnsi="Calibri"/>
          <w:b/>
          <w:bCs/>
          <w:i w:val="false"/>
          <w:iCs w:val="false"/>
          <w:sz w:val="22"/>
          <w:szCs w:val="22"/>
        </w:rPr>
        <w:t xml:space="preserve">[NÚMERO DNI/NIE]</w:t>
      </w:r>
      <w:r>
        <w:rPr>
          <w:rFonts w:ascii="Calibri" w:cs="Calibri" w:eastAsia="Calibri" w:hAnsi="Calibri"/>
          <w:b w:val="false"/>
          <w:bCs w:val="false"/>
          <w:i w:val="false"/>
          <w:iCs w:val="false"/>
          <w:sz w:val="22"/>
          <w:szCs w:val="22"/>
        </w:rPr>
        <w:t xml:space="preserve">, y domicilio a efectos de notificaciones en la localidad de Torre del Mar, municipio de Vélez-Málaga, C/ </w:t>
      </w:r>
      <w:r>
        <w:rPr>
          <w:rFonts w:ascii="Calibri" w:cs="Calibri" w:eastAsia="Calibri" w:hAnsi="Calibri"/>
          <w:b/>
          <w:bCs/>
          <w:i w:val="false"/>
          <w:iCs w:val="false"/>
          <w:sz w:val="22"/>
          <w:szCs w:val="22"/>
        </w:rPr>
        <w:t xml:space="preserve">[DOMICILIO COMPLETO]</w:t>
      </w:r>
      <w:r>
        <w:rPr>
          <w:rFonts w:ascii="Calibri" w:cs="Calibri" w:eastAsia="Calibri" w:hAnsi="Calibri"/>
          <w:b w:val="false"/>
          <w:bCs w:val="false"/>
          <w:i w:val="false"/>
          <w:iCs w:val="false"/>
          <w:sz w:val="22"/>
          <w:szCs w:val="22"/>
        </w:rPr>
        <w:t xml:space="preserve">, código postal 29740, provincia de Málaga, comparece y, como mejor proceda en Derecho,</w:t>
      </w:r>
    </w:p>
    <w:p>
      <w:pPr>
        <w:spacing w:after="200" w:before="300"/>
      </w:pPr>
      <w:r>
        <w:rPr>
          <w:rFonts w:ascii="Calibri" w:cs="Calibri" w:eastAsia="Calibri" w:hAnsi="Calibri"/>
          <w:b/>
          <w:bCs/>
          <w:sz w:val="24"/>
          <w:szCs w:val="24"/>
          <w:u w:val="single"/>
        </w:rPr>
        <w:t xml:space="preserve">EXPONE</w:t>
      </w:r>
    </w:p>
    <w:p>
      <w:pPr>
        <w:spacing w:after="200" w:before="0"/>
      </w:pPr>
      <w:r>
        <w:rPr>
          <w:rFonts w:ascii="Calibri" w:cs="Calibri" w:eastAsia="Calibri" w:hAnsi="Calibri"/>
          <w:b w:val="false"/>
          <w:bCs w:val="false"/>
          <w:i w:val="false"/>
          <w:iCs w:val="false"/>
          <w:sz w:val="22"/>
          <w:szCs w:val="22"/>
        </w:rPr>
        <w:t xml:space="preserve">Primero. – </w:t>
      </w:r>
      <w:r>
        <w:rPr>
          <w:rFonts w:ascii="Calibri" w:cs="Calibri" w:eastAsia="Calibri" w:hAnsi="Calibri"/>
          <w:b w:val="false"/>
          <w:bCs w:val="false"/>
          <w:i w:val="false"/>
          <w:iCs w:val="false"/>
          <w:sz w:val="22"/>
          <w:szCs w:val="22"/>
        </w:rPr>
        <w:t xml:space="preserve">Que con fecha </w:t>
      </w:r>
      <w:r>
        <w:rPr>
          <w:rFonts w:ascii="Calibri" w:cs="Calibri" w:eastAsia="Calibri" w:hAnsi="Calibri"/>
          <w:b/>
          <w:bCs/>
          <w:i w:val="false"/>
          <w:iCs w:val="false"/>
          <w:sz w:val="22"/>
          <w:szCs w:val="22"/>
        </w:rPr>
        <w:t xml:space="preserve">[FECHA DE NOTIFICACIÓN]</w:t>
      </w:r>
      <w:r>
        <w:rPr>
          <w:rFonts w:ascii="Calibri" w:cs="Calibri" w:eastAsia="Calibri" w:hAnsi="Calibri"/>
          <w:b w:val="false"/>
          <w:bCs w:val="false"/>
          <w:i w:val="false"/>
          <w:iCs w:val="false"/>
          <w:sz w:val="22"/>
          <w:szCs w:val="22"/>
        </w:rPr>
        <w:t xml:space="preserve"> le ha sido notificada la liquidación núm. </w:t>
      </w:r>
      <w:r>
        <w:rPr>
          <w:rFonts w:ascii="Calibri" w:cs="Calibri" w:eastAsia="Calibri" w:hAnsi="Calibri"/>
          <w:b/>
          <w:bCs/>
          <w:i w:val="false"/>
          <w:iCs w:val="false"/>
          <w:sz w:val="22"/>
          <w:szCs w:val="22"/>
        </w:rPr>
        <w:t xml:space="preserve">[NÚMERO DE LIQUIDACIÓN/REFERENCIA]</w:t>
      </w:r>
      <w:r>
        <w:rPr>
          <w:rFonts w:ascii="Calibri" w:cs="Calibri" w:eastAsia="Calibri" w:hAnsi="Calibri"/>
          <w:b w:val="false"/>
          <w:bCs w:val="false"/>
          <w:i w:val="false"/>
          <w:iCs w:val="false"/>
          <w:sz w:val="22"/>
          <w:szCs w:val="22"/>
        </w:rPr>
        <w:t xml:space="preserve">, correspondiente a la “Tasa por la prestación del servicio de recogida, transporte y tratamiento de residuos sólidos urbanos domésticos” del ejercicio 2026, por importe de </w:t>
      </w:r>
      <w:r>
        <w:rPr>
          <w:rFonts w:ascii="Calibri" w:cs="Calibri" w:eastAsia="Calibri" w:hAnsi="Calibri"/>
          <w:b/>
          <w:bCs/>
          <w:i w:val="false"/>
          <w:iCs w:val="false"/>
          <w:sz w:val="22"/>
          <w:szCs w:val="22"/>
        </w:rPr>
        <w:t xml:space="preserve">[IMPORTE]</w:t>
      </w:r>
      <w:r>
        <w:rPr>
          <w:rFonts w:ascii="Calibri" w:cs="Calibri" w:eastAsia="Calibri" w:hAnsi="Calibri"/>
          <w:b w:val="false"/>
          <w:bCs w:val="false"/>
          <w:i w:val="false"/>
          <w:iCs w:val="false"/>
          <w:sz w:val="22"/>
          <w:szCs w:val="22"/>
        </w:rPr>
        <w:t xml:space="preserve"> euros, girada por el Patronato de Recaudación Provincial de Málaga por delegación del Ayuntamiento de Vélez-Málaga, con fundamento en la Ordenanza fiscal reguladora de la Tasa por la prestación del servicio de recogida, transporte y tratamiento de residuos sólidos urbanos domésticos generados en las viviendas o inmuebles asimilados en el término municipal de Vélez-Málaga (Boletín Oficial de la Provincia de Málaga de 3 de diciembre de 2025).</w:t>
      </w:r>
    </w:p>
    <w:p>
      <w:pPr>
        <w:spacing w:after="200" w:before="0"/>
      </w:pPr>
      <w:r>
        <w:rPr>
          <w:rFonts w:ascii="Calibri" w:cs="Calibri" w:eastAsia="Calibri" w:hAnsi="Calibri"/>
          <w:b w:val="false"/>
          <w:bCs w:val="false"/>
          <w:i w:val="false"/>
          <w:iCs w:val="false"/>
          <w:sz w:val="22"/>
          <w:szCs w:val="22"/>
        </w:rPr>
        <w:t xml:space="preserve">Segundo. – </w:t>
      </w:r>
      <w:r>
        <w:rPr>
          <w:rFonts w:ascii="Calibri" w:cs="Calibri" w:eastAsia="Calibri" w:hAnsi="Calibri"/>
          <w:b w:val="false"/>
          <w:bCs w:val="false"/>
          <w:i w:val="false"/>
          <w:iCs w:val="false"/>
          <w:sz w:val="22"/>
          <w:szCs w:val="22"/>
        </w:rPr>
        <w:t xml:space="preserve">Que con fecha </w:t>
      </w:r>
      <w:r>
        <w:rPr>
          <w:rFonts w:ascii="Calibri" w:cs="Calibri" w:eastAsia="Calibri" w:hAnsi="Calibri"/>
          <w:b/>
          <w:bCs/>
          <w:i w:val="false"/>
          <w:iCs w:val="false"/>
          <w:sz w:val="22"/>
          <w:szCs w:val="22"/>
        </w:rPr>
        <w:t xml:space="preserve">[FECHA DE PAGO]</w:t>
      </w:r>
      <w:r>
        <w:rPr>
          <w:rFonts w:ascii="Calibri" w:cs="Calibri" w:eastAsia="Calibri" w:hAnsi="Calibri"/>
          <w:b w:val="false"/>
          <w:bCs w:val="false"/>
          <w:i w:val="false"/>
          <w:iCs w:val="false"/>
          <w:sz w:val="22"/>
          <w:szCs w:val="22"/>
        </w:rPr>
        <w:t xml:space="preserve">, mediante </w:t>
      </w:r>
      <w:r>
        <w:rPr>
          <w:rFonts w:ascii="Calibri" w:cs="Calibri" w:eastAsia="Calibri" w:hAnsi="Calibri"/>
          <w:b/>
          <w:bCs/>
          <w:i w:val="false"/>
          <w:iCs w:val="false"/>
          <w:sz w:val="22"/>
          <w:szCs w:val="22"/>
        </w:rPr>
        <w:t xml:space="preserve">[indicar medio de pago: ej. ingreso en cuenta, transferencia, tarjeta, en efectivo]</w:t>
      </w:r>
      <w:r>
        <w:rPr>
          <w:rFonts w:ascii="Calibri" w:cs="Calibri" w:eastAsia="Calibri" w:hAnsi="Calibri"/>
          <w:b w:val="false"/>
          <w:bCs w:val="false"/>
          <w:i w:val="false"/>
          <w:iCs w:val="false"/>
          <w:sz w:val="22"/>
          <w:szCs w:val="22"/>
        </w:rPr>
        <w:t xml:space="preserve">, esta parte realizó el pago íntegro de la liquidación por importe de </w:t>
      </w:r>
      <w:r>
        <w:rPr>
          <w:rFonts w:ascii="Calibri" w:cs="Calibri" w:eastAsia="Calibri" w:hAnsi="Calibri"/>
          <w:b/>
          <w:bCs/>
          <w:i w:val="false"/>
          <w:iCs w:val="false"/>
          <w:sz w:val="22"/>
          <w:szCs w:val="22"/>
        </w:rPr>
        <w:t xml:space="preserve">[CANTIDAD €]</w:t>
      </w:r>
      <w:r>
        <w:rPr>
          <w:rFonts w:ascii="Calibri" w:cs="Calibri" w:eastAsia="Calibri" w:hAnsi="Calibri"/>
          <w:b w:val="false"/>
          <w:bCs w:val="false"/>
          <w:i w:val="false"/>
          <w:iCs w:val="false"/>
          <w:sz w:val="22"/>
          <w:szCs w:val="22"/>
        </w:rPr>
        <w:t xml:space="preserve">, cuyo justificante se adjunta como Documento núm. </w:t>
      </w:r>
      <w:r>
        <w:rPr>
          <w:rFonts w:ascii="Calibri" w:cs="Calibri" w:eastAsia="Calibri" w:hAnsi="Calibri"/>
          <w:b/>
          <w:bCs/>
          <w:i w:val="false"/>
          <w:iCs w:val="false"/>
          <w:sz w:val="22"/>
          <w:szCs w:val="22"/>
        </w:rPr>
        <w:t xml:space="preserve">[X]</w:t>
      </w:r>
      <w:r>
        <w:rPr>
          <w:rFonts w:ascii="Calibri" w:cs="Calibri" w:eastAsia="Calibri" w:hAnsi="Calibri"/>
          <w:b w:val="false"/>
          <w:bCs w:val="false"/>
          <w:i w:val="false"/>
          <w:iCs w:val="false"/>
          <w:sz w:val="22"/>
          <w:szCs w:val="22"/>
        </w:rPr>
        <w:t xml:space="preserve">. Dicho pago se efectúa exclusivamente para evitar la aplicación de recargos e intereses de demora derivados de la falta de ingreso en periodo voluntario, sin que en ningún caso suponga allanamiento, conformidad ni renuncia a las acciones y derechos ejercitados en el presente recurso, que quedan expresamente reservados.</w:t>
      </w:r>
    </w:p>
    <w:p>
      <w:pPr>
        <w:spacing w:after="200" w:before="0"/>
      </w:pPr>
      <w:r>
        <w:rPr>
          <w:rFonts w:ascii="Calibri" w:cs="Calibri" w:eastAsia="Calibri" w:hAnsi="Calibri"/>
          <w:b w:val="false"/>
          <w:bCs w:val="false"/>
          <w:i w:val="false"/>
          <w:iCs w:val="false"/>
          <w:sz w:val="22"/>
          <w:szCs w:val="22"/>
        </w:rPr>
        <w:t xml:space="preserve">Tercero. – </w:t>
      </w:r>
      <w:r>
        <w:rPr>
          <w:rFonts w:ascii="Calibri" w:cs="Calibri" w:eastAsia="Calibri" w:hAnsi="Calibri"/>
          <w:b w:val="false"/>
          <w:bCs w:val="false"/>
          <w:i w:val="false"/>
          <w:iCs w:val="false"/>
          <w:sz w:val="22"/>
          <w:szCs w:val="22"/>
        </w:rPr>
        <w:t xml:space="preserve">Que, por medio del presente escrito, y dentro del plazo de un mes desde su notificación, interpone </w:t>
      </w:r>
      <w:r>
        <w:rPr>
          <w:rFonts w:ascii="Calibri" w:cs="Calibri" w:eastAsia="Calibri" w:hAnsi="Calibri"/>
          <w:b/>
          <w:bCs/>
          <w:i w:val="false"/>
          <w:iCs w:val="false"/>
          <w:sz w:val="22"/>
          <w:szCs w:val="22"/>
        </w:rPr>
        <w:t xml:space="preserve">RECURSO DE REPOSICIÓN</w:t>
      </w:r>
      <w:r>
        <w:rPr>
          <w:rFonts w:ascii="Calibri" w:cs="Calibri" w:eastAsia="Calibri" w:hAnsi="Calibri"/>
          <w:b w:val="false"/>
          <w:bCs w:val="false"/>
          <w:i w:val="false"/>
          <w:iCs w:val="false"/>
          <w:sz w:val="22"/>
          <w:szCs w:val="22"/>
        </w:rPr>
        <w:t xml:space="preserve"> contra la referida liquidación, de conformidad con el artículo 14 del Texto Refundido de la Ley Reguladora de las Haciendas Locales (TRLRHL, Real Decreto Legislativo 2/2004), de aplicación preferente en la materia, y supletoriamente los artículos 222 a 225 de la Ley 58/2003, General Tributaria, interesando la devolución de ingresos indebidos (arts. 221 y 32 LGT) con sus intereses de demora, por no ser la liquidación recurrida conforme a Derecho y lesionar los intereses legítimos del recurrente, en base a los siguientes</w:t>
      </w:r>
    </w:p>
    <w:p>
      <w:pPr>
        <w:spacing w:after="200" w:before="300"/>
      </w:pPr>
      <w:r>
        <w:rPr>
          <w:rFonts w:ascii="Calibri" w:cs="Calibri" w:eastAsia="Calibri" w:hAnsi="Calibri"/>
          <w:b/>
          <w:bCs/>
          <w:sz w:val="24"/>
          <w:szCs w:val="24"/>
          <w:u w:val="single"/>
        </w:rPr>
        <w:t xml:space="preserve">HECHOS</w:t>
      </w:r>
    </w:p>
    <w:p>
      <w:pPr>
        <w:spacing w:after="200" w:before="0"/>
      </w:pPr>
      <w:r>
        <w:rPr>
          <w:rFonts w:ascii="Calibri" w:cs="Calibri" w:eastAsia="Calibri" w:hAnsi="Calibri"/>
          <w:b w:val="false"/>
          <w:bCs w:val="false"/>
          <w:i w:val="false"/>
          <w:iCs w:val="false"/>
          <w:sz w:val="22"/>
          <w:szCs w:val="22"/>
        </w:rPr>
        <w:t xml:space="preserve">1. – </w:t>
      </w:r>
      <w:r>
        <w:rPr>
          <w:rFonts w:ascii="Calibri" w:cs="Calibri" w:eastAsia="Calibri" w:hAnsi="Calibri"/>
          <w:b w:val="false"/>
          <w:bCs w:val="false"/>
          <w:i w:val="false"/>
          <w:iCs w:val="false"/>
          <w:sz w:val="22"/>
          <w:szCs w:val="22"/>
        </w:rPr>
        <w:t xml:space="preserve">La metodología de cálculo aplicada por la Ordenanza fiscal municipal no refleja el coste real ni previsible del servicio individualmente prestado y adopta criterios ajenos a la efectiva generación de residuos por cada usuario. En particular, la cuota liquidada resulta de la suma acumulativa de los siguientes conceptos, tal y como consta desglosado en el propio documento de liquidación:</w:t>
      </w:r>
    </w:p>
    <w:p>
      <w:pPr>
        <w:spacing w:after="100" w:before="0"/>
      </w:pPr>
      <w:r>
        <w:rPr>
          <w:rFonts w:ascii="Calibri" w:cs="Calibri" w:eastAsia="Calibri" w:hAnsi="Calibri"/>
          <w:b w:val="false"/>
          <w:bCs w:val="false"/>
          <w:i w:val="false"/>
          <w:iCs w:val="false"/>
          <w:sz w:val="22"/>
          <w:szCs w:val="22"/>
        </w:rPr>
        <w:t xml:space="preserve">a) </w:t>
      </w:r>
      <w:r>
        <w:rPr>
          <w:rFonts w:ascii="Calibri" w:cs="Calibri" w:eastAsia="Calibri" w:hAnsi="Calibri"/>
          <w:b w:val="false"/>
          <w:bCs w:val="false"/>
          <w:i w:val="false"/>
          <w:iCs w:val="false"/>
          <w:sz w:val="22"/>
          <w:szCs w:val="22"/>
        </w:rPr>
        <w:t xml:space="preserve">Una cuota fija, idéntica para todos los sujetos pasivos con independencia de su generación real de residuos;</w:t>
      </w:r>
    </w:p>
    <w:p>
      <w:pPr>
        <w:spacing w:after="100" w:before="0"/>
      </w:pPr>
      <w:r>
        <w:rPr>
          <w:rFonts w:ascii="Calibri" w:cs="Calibri" w:eastAsia="Calibri" w:hAnsi="Calibri"/>
          <w:b w:val="false"/>
          <w:bCs w:val="false"/>
          <w:i w:val="false"/>
          <w:iCs w:val="false"/>
          <w:sz w:val="22"/>
          <w:szCs w:val="22"/>
        </w:rPr>
        <w:t xml:space="preserve">b) </w:t>
      </w:r>
      <w:r>
        <w:rPr>
          <w:rFonts w:ascii="Calibri" w:cs="Calibri" w:eastAsia="Calibri" w:hAnsi="Calibri"/>
          <w:b w:val="false"/>
          <w:bCs w:val="false"/>
          <w:i w:val="false"/>
          <w:iCs w:val="false"/>
          <w:sz w:val="22"/>
          <w:szCs w:val="22"/>
        </w:rPr>
        <w:t xml:space="preserve">Un tramo variable calculado en función del valor catastral del inmueble (“TARIFA_TRAMO_VC”), magnitud que refleja capacidad económica y no generación de residuos;</w:t>
      </w:r>
    </w:p>
    <w:p>
      <w:pPr>
        <w:spacing w:after="100" w:before="0"/>
      </w:pPr>
      <w:r>
        <w:rPr>
          <w:rFonts w:ascii="Calibri" w:cs="Calibri" w:eastAsia="Calibri" w:hAnsi="Calibri"/>
          <w:b w:val="false"/>
          <w:bCs w:val="false"/>
          <w:i w:val="false"/>
          <w:iCs w:val="false"/>
          <w:sz w:val="22"/>
          <w:szCs w:val="22"/>
        </w:rPr>
        <w:t xml:space="preserve">c) </w:t>
      </w:r>
      <w:r>
        <w:rPr>
          <w:rFonts w:ascii="Calibri" w:cs="Calibri" w:eastAsia="Calibri" w:hAnsi="Calibri"/>
          <w:b w:val="false"/>
          <w:bCs w:val="false"/>
          <w:i w:val="false"/>
          <w:iCs w:val="false"/>
          <w:sz w:val="22"/>
          <w:szCs w:val="22"/>
        </w:rPr>
        <w:t xml:space="preserve">Un tramo variable calculado en función de la superficie de la vivienda (“TARIFA_TRAMO_SUPERFICIE”), que tampoco guarda relación directa y verificable con la cantidad de residuos efectivamente generados por sus ocupantes; y</w:t>
      </w:r>
    </w:p>
    <w:p>
      <w:pPr>
        <w:spacing w:after="200" w:before="0"/>
      </w:pPr>
      <w:r>
        <w:rPr>
          <w:rFonts w:ascii="Calibri" w:cs="Calibri" w:eastAsia="Calibri" w:hAnsi="Calibri"/>
          <w:b w:val="false"/>
          <w:bCs w:val="false"/>
          <w:i w:val="false"/>
          <w:iCs w:val="false"/>
          <w:sz w:val="22"/>
          <w:szCs w:val="22"/>
        </w:rPr>
        <w:t xml:space="preserve">d) </w:t>
      </w:r>
      <w:r>
        <w:rPr>
          <w:rFonts w:ascii="Calibri" w:cs="Calibri" w:eastAsia="Calibri" w:hAnsi="Calibri"/>
          <w:b w:val="false"/>
          <w:bCs w:val="false"/>
          <w:i w:val="false"/>
          <w:iCs w:val="false"/>
          <w:sz w:val="22"/>
          <w:szCs w:val="22"/>
        </w:rPr>
        <w:t xml:space="preserve">Un tramo adicional asociado a la “eficiencia ambiental” de la unidad territorial o zona de ubicación de la vivienda (“TARIFA_TRAMO_EFICIENCIA”), coeficiente agregado por zona que no guarda relación con la conducta o aportación de residuos del obligado tributario individual, y que traslada al contribuyente resultados de terceros (comportamiento colectivo de su unidad territorial) sobre los que no tiene control ni posibilidad de modificación individual.</w:t>
      </w:r>
    </w:p>
    <w:p>
      <w:pPr>
        <w:spacing w:after="200" w:before="0"/>
      </w:pPr>
      <w:r>
        <w:rPr>
          <w:rFonts w:ascii="Calibri" w:cs="Calibri" w:eastAsia="Calibri" w:hAnsi="Calibri"/>
          <w:b w:val="false"/>
          <w:bCs w:val="false"/>
          <w:i w:val="false"/>
          <w:iCs w:val="false"/>
          <w:sz w:val="22"/>
          <w:szCs w:val="22"/>
        </w:rPr>
        <w:t xml:space="preserve">Ninguno de los cuatro conceptos que integran la cuota –fijo, valor catastral, superficie y eficiencia zonal– mide, ni siquiera de forma indiciaria o estimada, el volumen o la naturaleza de los residuos efectivamente generados por el sujeto pasivo, incumpliendo así el mandato legal de individualización expuesto en los Fundamentos de Derecho siguientes.</w:t>
      </w:r>
    </w:p>
    <w:p>
      <w:pPr>
        <w:spacing w:after="200" w:before="0"/>
      </w:pPr>
      <w:r>
        <w:rPr>
          <w:rFonts w:ascii="Calibri" w:cs="Calibri" w:eastAsia="Calibri" w:hAnsi="Calibri"/>
          <w:b w:val="false"/>
          <w:bCs w:val="false"/>
          <w:i w:val="false"/>
          <w:iCs w:val="false"/>
          <w:sz w:val="22"/>
          <w:szCs w:val="22"/>
        </w:rPr>
        <w:t xml:space="preserve">2. – </w:t>
      </w:r>
      <w:r>
        <w:rPr>
          <w:rFonts w:ascii="Calibri" w:cs="Calibri" w:eastAsia="Calibri" w:hAnsi="Calibri"/>
          <w:b w:val="false"/>
          <w:bCs w:val="false"/>
          <w:i w:val="false"/>
          <w:iCs w:val="false"/>
          <w:sz w:val="22"/>
          <w:szCs w:val="22"/>
        </w:rPr>
        <w:t xml:space="preserve">No consta, a disposición del contribuyente en el momento de la notificación, una memoria o informe técnico-económico suficiente, transparente y verificable que justifique, con datos actualizados y trazables, la estructura de costes del servicio (infraestructura, recogida, transporte y tratamiento), su imputación a categorías homogéneas de usuarios y la traslación proporcionada a las tarifas aplicadas (cuota fija, tramo por valor catastral, tramo por superficie y tramo por eficiencia territorial). En su defecto, no puede afirmarse que la suma de las cuotas no exceda del coste real o previsible del servicio, ni que exista correlación entre la cuantía exigida y el servicio efectivamente prestado al contribuyente.</w:t>
      </w:r>
    </w:p>
    <w:p>
      <w:pPr>
        <w:spacing w:after="200" w:before="0"/>
      </w:pPr>
      <w:r>
        <w:rPr>
          <w:rFonts w:ascii="Calibri" w:cs="Calibri" w:eastAsia="Calibri" w:hAnsi="Calibri"/>
          <w:b w:val="false"/>
          <w:bCs w:val="false"/>
          <w:i w:val="false"/>
          <w:iCs w:val="false"/>
          <w:sz w:val="22"/>
          <w:szCs w:val="22"/>
        </w:rPr>
        <w:t xml:space="preserve">3. – </w:t>
      </w:r>
      <w:r>
        <w:rPr>
          <w:rFonts w:ascii="Calibri" w:cs="Calibri" w:eastAsia="Calibri" w:hAnsi="Calibri"/>
          <w:b w:val="false"/>
          <w:bCs w:val="false"/>
          <w:i w:val="false"/>
          <w:iCs w:val="false"/>
          <w:sz w:val="22"/>
          <w:szCs w:val="22"/>
        </w:rPr>
        <w:t xml:space="preserve">La configuración actual genera resultados desproporcionados y potencialmente discriminatorios entre residentes de distintas unidades territoriales del municipio, con diferencias no vinculadas al comportamiento individual de cada sujeto pasivo, y sin que el contribuyente disponga de mecanismo alguno para reducir su cuota mediante una modificación de su propia conducta (separación, reducción, uso de punto limpio), salvo las reducciones tasadas y de alcance limitado previstas en la propia Ordenanza.</w:t>
      </w:r>
    </w:p>
    <w:p>
      <w:pPr>
        <w:spacing w:after="200" w:before="0"/>
      </w:pPr>
      <w:r>
        <w:rPr>
          <w:rFonts w:ascii="Calibri" w:cs="Calibri" w:eastAsia="Calibri" w:hAnsi="Calibri"/>
          <w:b w:val="false"/>
          <w:bCs w:val="false"/>
          <w:i w:val="false"/>
          <w:iCs w:val="false"/>
          <w:sz w:val="22"/>
          <w:szCs w:val="22"/>
        </w:rPr>
        <w:t xml:space="preserve">4. – </w:t>
      </w:r>
      <w:r>
        <w:rPr>
          <w:rFonts w:ascii="Calibri" w:cs="Calibri" w:eastAsia="Calibri" w:hAnsi="Calibri"/>
          <w:b w:val="false"/>
          <w:bCs w:val="false"/>
          <w:i w:val="false"/>
          <w:iCs w:val="false"/>
          <w:sz w:val="22"/>
          <w:szCs w:val="22"/>
        </w:rPr>
        <w:t xml:space="preserve">La liquidación recurrida carece de motivación suficiente sobre los elementos esenciales de cuantificación aplicados al caso concreto (parámetros, coeficientes de la unidad territorial correspondiente y fuentes de los datos empleados), impidiendo el control por el ciudadano y el pleno ejercicio de su derecho de defensa.</w:t>
      </w:r>
    </w:p>
    <w:p>
      <w:pPr>
        <w:spacing w:after="200" w:before="0"/>
      </w:pPr>
      <w:r>
        <w:rPr>
          <w:rFonts w:ascii="Calibri" w:cs="Calibri" w:eastAsia="Calibri" w:hAnsi="Calibri"/>
          <w:b w:val="false"/>
          <w:bCs w:val="false"/>
          <w:i w:val="false"/>
          <w:iCs w:val="false"/>
          <w:sz w:val="22"/>
          <w:szCs w:val="22"/>
        </w:rPr>
        <w:t xml:space="preserve">5. – </w:t>
      </w:r>
      <w:r>
        <w:rPr>
          <w:rFonts w:ascii="Calibri" w:cs="Calibri" w:eastAsia="Calibri" w:hAnsi="Calibri"/>
          <w:b w:val="false"/>
          <w:bCs w:val="false"/>
          <w:i w:val="false"/>
          <w:iCs w:val="false"/>
          <w:sz w:val="22"/>
          <w:szCs w:val="22"/>
        </w:rPr>
        <w:t xml:space="preserve">En cuanto a la tramitación de la Ordenanza de la que trae causa la liquidación impugnada, consta que: (i) el Ayuntamiento Pleno aprobó provisionalmente la imposición y ordenación de la tasa en sesión de 31 de marzo de 2025; (ii) el anuncio de exposición pública se publicó en el Boletín Oficial de la Provincia de Málaga núm. 70, de 11 de abril de 2025, con plazo de alegaciones hasta el 28 de mayo de 2025; y (iii) la página de información pública habilitada al efecto en la web municipal (mod=informacion-publica, id=133) únicamente puso a disposición para consulta y descarga el certificado del acuerdo plenario y los textos borrador de las dos ordenanzas fiscales (viviendas y actividades económicas). El propio certificado del acuerdo plenario reconoce expresamente que en el expediente obraban, además, un informe del Jefe de Servicio de Gestión e Inspección Tributaria de 12 de marzo de 2025, un informe técnico adicional y el Informe Técnico-Económico de esa misma fecha; sin embargo, ninguno de estos tres documentos figura entre los archivos publicados para consulta o descarga en dicha página. No consta, por tanto, que el Informe Técnico-Económico –documento que, según el propio acuerdo plenario, sustenta el sistema de cálculo de la cuota fija y variable– se pusiera a disposición general de los interesados por medios telemáticos durante el trámite de información pública, sin perjuicio de que el acuerdo previera la posibilidad de examen presencial del expediente completo durante el plazo de treinta (30) días hábiles.</w:t>
      </w:r>
    </w:p>
    <w:p>
      <w:pPr>
        <w:spacing w:after="200" w:before="0"/>
      </w:pPr>
      <w:r>
        <w:rPr>
          <w:rFonts w:ascii="Calibri" w:cs="Calibri" w:eastAsia="Calibri" w:hAnsi="Calibri"/>
          <w:b w:val="false"/>
          <w:bCs w:val="false"/>
          <w:i w:val="false"/>
          <w:iCs w:val="false"/>
          <w:sz w:val="22"/>
          <w:szCs w:val="22"/>
        </w:rPr>
        <w:t xml:space="preserve">6. – </w:t>
      </w:r>
      <w:r>
        <w:rPr>
          <w:rFonts w:ascii="Calibri" w:cs="Calibri" w:eastAsia="Calibri" w:hAnsi="Calibri"/>
          <w:b w:val="false"/>
          <w:bCs w:val="false"/>
          <w:i w:val="false"/>
          <w:iCs w:val="false"/>
          <w:sz w:val="22"/>
          <w:szCs w:val="22"/>
        </w:rPr>
        <w:t xml:space="preserve">Refuerza lo anterior el hecho, documentado en la resolución municipal de contestación a las reclamaciones presentadas en la primera fase del expediente (apartado “Octava.– Solicitud de puesta a disposición de expediente administrativo”), de que el interesado D. Francisco Delgado Bonilla, en escrito de 26 de mayo de 2025, alegó que no se había atendido su petición de vista del expediente, ante lo cual el Ayuntamiento, mediante Resolución n.º 2025020146, de 28 de mayo de 2025, le convocó a comparecer presencialmente en sede administrativa el día 5 de junio de 2025, a las 10:30 horas, y le amplió en diez días hábiles el plazo para formular nuevas alegaciones, una vez hubiera podido “estudiar el expediente en su totalidad”, presentando el interesado nuevas reclamaciones el 18 de junio de 2025. Este hecho acredita que el examen completo del expediente exigió, cuando menos para uno de los interesados, una solicitud expresa, una convocatoria formal y una comparecencia presencial en fecha y hora determinadas, así como una ampliación singular del plazo de alegaciones para poder ejercitarlas con conocimiento del expediente íntegro –circunstancia difícilmente conciliable con la existencia de un acceso abierto, inmediato y en igualdad de condiciones para todos los interesados durante el plazo ordinario de información pública–, circunstancia igualmente relevante para valorar si el Informe Técnico-Económico –documento angular en la cuantificación de la tasa– estuvo efectivamente accesible por vía telemática para la generalidad de los vecinos durante el plazo ordinario de información pública. Todo ello sin que de dicha resolución se desprenda que la solicitud u objeto de examen se refiriera específicamente al Informe Técnico-Económico, ni que este le fuera exhibido o entregado de forma singularizada.</w:t>
      </w:r>
    </w:p>
    <w:p>
      <w:pPr>
        <w:spacing w:after="200" w:before="300"/>
      </w:pPr>
      <w:r>
        <w:rPr>
          <w:rFonts w:ascii="Calibri" w:cs="Calibri" w:eastAsia="Calibri" w:hAnsi="Calibri"/>
          <w:b/>
          <w:bCs/>
          <w:sz w:val="24"/>
          <w:szCs w:val="24"/>
          <w:u w:val="single"/>
        </w:rPr>
        <w:t xml:space="preserve">FUNDAMENTOS DE DERECHO</w:t>
      </w:r>
    </w:p>
    <w:p>
      <w:pPr>
        <w:spacing w:after="200" w:before="0"/>
      </w:pPr>
      <w:r>
        <w:rPr>
          <w:rFonts w:ascii="Calibri" w:cs="Calibri" w:eastAsia="Calibri" w:hAnsi="Calibri"/>
          <w:b/>
          <w:bCs/>
          <w:i w:val="false"/>
          <w:iCs w:val="false"/>
          <w:sz w:val="22"/>
          <w:szCs w:val="22"/>
        </w:rPr>
        <w:t xml:space="preserve">I. Régimen jurídico y competencia. </w:t>
      </w:r>
      <w:r>
        <w:rPr>
          <w:rFonts w:ascii="Calibri" w:cs="Calibri" w:eastAsia="Calibri" w:hAnsi="Calibri"/>
          <w:b w:val="false"/>
          <w:bCs w:val="false"/>
          <w:i w:val="false"/>
          <w:iCs w:val="false"/>
          <w:sz w:val="22"/>
          <w:szCs w:val="22"/>
        </w:rPr>
        <w:t xml:space="preserve">El presente recurso se interpone conforme al artículo 14 del Texto Refundido de la Ley Reguladora de las Haciendas Locales (TRLRHL), de aplicación preferente en la materia, y supletoriamente los artículos 222 a 225 de la Ley 58/2003, General Tributaria, contra acto de gestión tributaria y recaudatoria dictado por el Patronato de Recaudación Provincial de Málaga en el ejercicio de las competencias que le han sido delegadas por el Ayuntamiento de Vélez-Málaga. Se deja constancia expresa de que, en caso de desestimación total o parcial del presente recurso, esta parte se reserva el ejercicio de la impugnación indirecta de la Ordenanza fiscal de la que trae causa la liquidación, al amparo del artículo 26 de la Ley 29/1998, Reguladora de la Jurisdicción Contencioso-Administrativa.</w:t>
      </w:r>
    </w:p>
    <w:p>
      <w:pPr>
        <w:spacing w:after="200" w:before="0"/>
      </w:pPr>
      <w:r>
        <w:rPr>
          <w:rFonts w:ascii="Calibri" w:cs="Calibri" w:eastAsia="Calibri" w:hAnsi="Calibri"/>
          <w:b/>
          <w:bCs/>
          <w:i w:val="false"/>
          <w:iCs w:val="false"/>
          <w:sz w:val="22"/>
          <w:szCs w:val="22"/>
        </w:rPr>
        <w:t xml:space="preserve">II. Principio “quien contamina paga” y exigencia de correlación con el coste del servicio. </w:t>
      </w:r>
      <w:r>
        <w:rPr>
          <w:rFonts w:ascii="Calibri" w:cs="Calibri" w:eastAsia="Calibri" w:hAnsi="Calibri"/>
          <w:b w:val="false"/>
          <w:bCs w:val="false"/>
          <w:i w:val="false"/>
          <w:iCs w:val="false"/>
          <w:sz w:val="22"/>
          <w:szCs w:val="22"/>
        </w:rPr>
        <w:t xml:space="preserve">La Directiva (UE) 2018/851, de 30 de mayo, que modifica la Directiva 2008/98/CE sobre residuos, establece que, de acuerdo con el principio de que quien contamina paga, los costes de gestión de residuos –incluida la infraestructura y su funcionamiento– deben imputarse al productor inicial de los residuos o poseedores, y que las contribuciones no excedan de los costes necesarios, fijados con transparencia entre los agentes afectados (artículos 14 y 8 bis.4.c). Su transposición interna se ha efectuado mediante la Ley 7/2022, de 8 de abril, de residuos y suelos contaminados para una economía circular, cuyo artículo 11.3 impone a las entidades locales el establecimiento de una tasa o prestación específica, diferenciada y no deficitaria, que refleje el coste real –directo e indirecto– de las operaciones de recogida, transporte y tratamiento, y que permita implantar sistemas de pago por generación, con individualización suficiente para alinear incentivos con la prevención y la correcta separación de residuos, mandatos plenamente vigentes y obligatorios para el presente ejercicio de 2026. A los efectos anteriores, la doctrina de la Sala de lo Contencioso-Administrativo del Tribunal Supremo (entre otras, la Sentencia 82/2024, de 19 de enero) exige que las tarifas de las tasas locales se justifiquen en parámetros objetivos y razonables, con un reparto de costes entre contribuyentes que responda a criterios de proporcionalidad y motivación suficiente.</w:t>
      </w:r>
    </w:p>
    <w:p>
      <w:pPr>
        <w:spacing w:after="200" w:before="0"/>
      </w:pPr>
      <w:r>
        <w:rPr>
          <w:rFonts w:ascii="Calibri" w:cs="Calibri" w:eastAsia="Calibri" w:hAnsi="Calibri"/>
          <w:b/>
          <w:bCs/>
          <w:i w:val="false"/>
          <w:iCs w:val="false"/>
          <w:sz w:val="22"/>
          <w:szCs w:val="22"/>
        </w:rPr>
        <w:t xml:space="preserve">III. Límites materiales de las tasas locales. </w:t>
      </w:r>
      <w:r>
        <w:rPr>
          <w:rFonts w:ascii="Calibri" w:cs="Calibri" w:eastAsia="Calibri" w:hAnsi="Calibri"/>
          <w:b w:val="false"/>
          <w:bCs w:val="false"/>
          <w:i w:val="false"/>
          <w:iCs w:val="false"/>
          <w:sz w:val="22"/>
          <w:szCs w:val="22"/>
        </w:rPr>
        <w:t xml:space="preserve">Los artículos 24 y 25 del TRLRHL disponen que las tasas por prestación de servicios no pueden exceder, en su conjunto, del coste real o previsible del servicio, y han de sustentarse en una memoria o informe técnico-económico que cuantifique dicho coste y justifique la estructura tarifaria y su reparto entre categorías de usuarios, de modo que exista una relación razonable entre la cuantía exigida y el servicio efectivamente prestado. La utilización de magnitudes ajenas al servicio –como el valor catastral o la superficie de la vivienda– o de coeficientes zonales que diluyen el comportamiento individual, sin más correctivo que reducciones tasadas, contraviene la naturaleza de la tasa y su necesaria conexión causal con el coste y la generación de residuos. Asimismo, conforme a doctrina consolidada del Tribunal Supremo, el informe técnico-económico no puede limitarse a ofrecer datos numéricos o resultados finales, sino que debe contener una explicación razonada y completa de la metodología empleada, con un desglose analítico que justifique la razonabilidad y proporcionalidad de la cuota imputada a cada categoría de usuario.</w:t>
      </w:r>
    </w:p>
    <w:p>
      <w:pPr>
        <w:spacing w:after="200" w:before="0"/>
      </w:pPr>
      <w:r>
        <w:rPr>
          <w:rFonts w:ascii="Calibri" w:cs="Calibri" w:eastAsia="Calibri" w:hAnsi="Calibri"/>
          <w:b/>
          <w:bCs/>
          <w:i w:val="false"/>
          <w:iCs w:val="false"/>
          <w:sz w:val="22"/>
          <w:szCs w:val="22"/>
        </w:rPr>
        <w:t xml:space="preserve">IV. Jurisprudencia reciente sobre la exigencia de informe técnico-económico completo y transparente. </w:t>
      </w:r>
      <w:r>
        <w:rPr>
          <w:rFonts w:ascii="Calibri" w:cs="Calibri" w:eastAsia="Calibri" w:hAnsi="Calibri"/>
          <w:b w:val="false"/>
          <w:bCs w:val="false"/>
          <w:i w:val="false"/>
          <w:iCs w:val="false"/>
          <w:sz w:val="22"/>
          <w:szCs w:val="22"/>
        </w:rPr>
        <w:t xml:space="preserve">La Sección Novena de la Sala de lo Contencioso-Administrativo del Tribunal Superior de Justicia de Madrid, en varias sentencias dictadas el 20 de marzo de 2026 (entre ellas la STSJ Madrid 196/2026, rec. 215/2025), declaró la nulidad de pleno derecho de la Ordenanza Fiscal 8/2024, reguladora de la tasa de gestión de residuos del Ayuntamiento de Madrid, al apreciar que durante el trámite de información pública no se publicó íntegramente el informe técnico-económico que servía de base a la tasa –en particular, el estudio de generación de residuos por actividades económicas–, lo que impidió conocer la trazabilidad entre la generación de residuos y la carga tributaria impuesta a cada categoría de usuarios. El tribunal calificó dicha omisión como vicio determinante de nulidad radical, por vulnerar el derecho de participación de los ciudadanos y generarles indefensión al impedirles conocer y cuestionar los criterios utilizados por la Administración. Si bien dichas sentencias se encuentran recurridas en casación ante el Tribunal Supremo, su fundamentación se apoya en doctrina consolidada de dicho Tribunal sobre el carácter esencial e insubsanable del informe técnico-económico y su exposición íntegra en el trámite de información pública. Sin prejuzgar si las circunstancias concurrentes en la tramitación de la Ordenanza de Vélez-Málaga son plenamente equiparables a las de aquel supuesto –dado que, a diferencia de aquel caso, el acuerdo de aprobación provisional sí contemplaba la posibilidad de examen presencial del expediente completo durante el plazo de información pública–, los hechos descritos en los apartados 5 y 6 anteriores (ausencia del Informe Técnico-Económico entre la documentación puesta a disposición telemática, y necesidad acreditada de que, al menos un interesado, tuviera que solicitar expresamente, esperar convocatoria formal y comparecer presencialmente en fecha determinada para poder estudiar el expediente en su totalidad, con la consiguiente ampliación singular del plazo de alegaciones) resultan relevantes a los efectos de valorar si se garantizó un acceso efectivo, general y en condiciones de igualdad a dicho informe durante el plazo ordinario de información pública, y confirman en todo caso que la ausencia o insuficiencia de la memoria técnico-económica accesible al contribuyente –circunstancia igualmente alegada en el Hecho Segundo de este escrito– es un elemento de primer orden en el control judicial de este tipo de tasas, con independencia de la valoración de fondo sobre la adecuación del método de cálculo al principio “quien contamina paga”, expuesta en los Fundamentos II y III.</w:t>
      </w:r>
    </w:p>
    <w:p>
      <w:pPr>
        <w:spacing w:after="200" w:before="0"/>
      </w:pPr>
      <w:r>
        <w:rPr>
          <w:rFonts w:ascii="Calibri" w:cs="Calibri" w:eastAsia="Calibri" w:hAnsi="Calibri"/>
          <w:b/>
          <w:bCs/>
          <w:i w:val="false"/>
          <w:iCs w:val="false"/>
          <w:sz w:val="22"/>
          <w:szCs w:val="22"/>
        </w:rPr>
        <w:t xml:space="preserve">V. Proporcionalidad, igualdad y prohibición de discriminación. </w:t>
      </w:r>
      <w:r>
        <w:rPr>
          <w:rFonts w:ascii="Calibri" w:cs="Calibri" w:eastAsia="Calibri" w:hAnsi="Calibri"/>
          <w:b w:val="false"/>
          <w:bCs w:val="false"/>
          <w:i w:val="false"/>
          <w:iCs w:val="false"/>
          <w:sz w:val="22"/>
          <w:szCs w:val="22"/>
        </w:rPr>
        <w:t xml:space="preserve">La adopción de una cuota fija indiferenciada combinada con coeficientes agregados por unidad territorial, sin posibilidad real de modulación por el comportamiento individual del contribuyente, infringe los principios de proporcionalidad e igualdad en la aplicación de los tributos, al no existir justificación objetiva y razonable vinculada a la efectiva generación de residuos del obligado tributario. La ausencia de mecanismos de individualización razonables y de incentivos eficaces a la reducción y separación selectiva desnaturaliza la finalidad ambiental y económica de la tasa.</w:t>
      </w:r>
    </w:p>
    <w:p>
      <w:pPr>
        <w:spacing w:after="200" w:before="0"/>
      </w:pPr>
      <w:r>
        <w:rPr>
          <w:rFonts w:ascii="Calibri" w:cs="Calibri" w:eastAsia="Calibri" w:hAnsi="Calibri"/>
          <w:b/>
          <w:bCs/>
          <w:i w:val="false"/>
          <w:iCs w:val="false"/>
          <w:sz w:val="22"/>
          <w:szCs w:val="22"/>
        </w:rPr>
        <w:t xml:space="preserve">VI. Motivación y transparencia. </w:t>
      </w:r>
      <w:r>
        <w:rPr>
          <w:rFonts w:ascii="Calibri" w:cs="Calibri" w:eastAsia="Calibri" w:hAnsi="Calibri"/>
          <w:b w:val="false"/>
          <w:bCs w:val="false"/>
          <w:i w:val="false"/>
          <w:iCs w:val="false"/>
          <w:sz w:val="22"/>
          <w:szCs w:val="22"/>
        </w:rPr>
        <w:t xml:space="preserve">La liquidación debe estar motivada con referencia expresa a los elementos de cuantificación aplicados, su fuente y justificación, para permitir el control y la defensa del contribuyente. La falta de motivación suficiente vicia el acto y conlleva su anulabilidad, conforme al artículo 35 de la Ley 39/2015 y los artículos 102 y 103 de la LGT.</w:t>
      </w:r>
    </w:p>
    <w:p>
      <w:pPr>
        <w:spacing w:after="200" w:before="300"/>
      </w:pPr>
      <w:r>
        <w:rPr>
          <w:rFonts w:ascii="Calibri" w:cs="Calibri" w:eastAsia="Calibri" w:hAnsi="Calibri"/>
          <w:b/>
          <w:bCs/>
          <w:sz w:val="24"/>
          <w:szCs w:val="24"/>
          <w:u w:val="single"/>
        </w:rPr>
        <w:t xml:space="preserve">Por todo lo cual, SOLICITO:</w:t>
      </w:r>
    </w:p>
    <w:p>
      <w:pPr>
        <w:spacing w:after="200" w:before="0"/>
      </w:pPr>
      <w:r>
        <w:rPr>
          <w:rFonts w:ascii="Calibri" w:cs="Calibri" w:eastAsia="Calibri" w:hAnsi="Calibri"/>
          <w:b w:val="false"/>
          <w:bCs w:val="false"/>
          <w:i w:val="false"/>
          <w:iCs w:val="false"/>
          <w:sz w:val="22"/>
          <w:szCs w:val="22"/>
        </w:rPr>
        <w:t xml:space="preserve">Primero. – </w:t>
      </w:r>
      <w:r>
        <w:rPr>
          <w:rFonts w:ascii="Calibri" w:cs="Calibri" w:eastAsia="Calibri" w:hAnsi="Calibri"/>
          <w:b w:val="false"/>
          <w:bCs w:val="false"/>
          <w:i w:val="false"/>
          <w:iCs w:val="false"/>
          <w:sz w:val="22"/>
          <w:szCs w:val="22"/>
        </w:rPr>
        <w:t xml:space="preserve">Que tenga por presentado este escrito, por interpuesto en tiempo y forma recurso de reposición contra la liquidación núm. </w:t>
      </w:r>
      <w:r>
        <w:rPr>
          <w:rFonts w:ascii="Calibri" w:cs="Calibri" w:eastAsia="Calibri" w:hAnsi="Calibri"/>
          <w:b/>
          <w:bCs/>
          <w:i w:val="false"/>
          <w:iCs w:val="false"/>
          <w:sz w:val="22"/>
          <w:szCs w:val="22"/>
        </w:rPr>
        <w:t xml:space="preserve">[NÚMERO]</w:t>
      </w:r>
      <w:r>
        <w:rPr>
          <w:rFonts w:ascii="Calibri" w:cs="Calibri" w:eastAsia="Calibri" w:hAnsi="Calibri"/>
          <w:b w:val="false"/>
          <w:bCs w:val="false"/>
          <w:i w:val="false"/>
          <w:iCs w:val="false"/>
          <w:sz w:val="22"/>
          <w:szCs w:val="22"/>
        </w:rPr>
        <w:t xml:space="preserve">, ejercicio 2026, de la Tasa por la prestación del servicio de recogida, transporte y tratamiento de residuos sólidos urbanos domésticos, y, previos los trámites oportunos, dicte resolución por la que:</w:t>
      </w:r>
    </w:p>
    <w:p>
      <w:pPr>
        <w:spacing w:after="100" w:before="0"/>
      </w:pPr>
      <w:r>
        <w:rPr>
          <w:rFonts w:ascii="Calibri" w:cs="Calibri" w:eastAsia="Calibri" w:hAnsi="Calibri"/>
          <w:b w:val="false"/>
          <w:bCs w:val="false"/>
          <w:i w:val="false"/>
          <w:iCs w:val="false"/>
          <w:sz w:val="22"/>
          <w:szCs w:val="22"/>
        </w:rPr>
        <w:t xml:space="preserve">a) </w:t>
      </w:r>
      <w:r>
        <w:rPr>
          <w:rFonts w:ascii="Calibri" w:cs="Calibri" w:eastAsia="Calibri" w:hAnsi="Calibri"/>
          <w:b w:val="false"/>
          <w:bCs w:val="false"/>
          <w:i w:val="false"/>
          <w:iCs w:val="false"/>
          <w:sz w:val="22"/>
          <w:szCs w:val="22"/>
        </w:rPr>
        <w:t xml:space="preserve">Se anule la liquidación impugnada por infracción del principio “quien contamina paga”, falta de correlación con el coste real del servicio, utilización de criterios ajenos a la efectiva generación de residuos, falta de suficiencia de la memoria técnico-económica y falta de motivación.</w:t>
      </w:r>
    </w:p>
    <w:p>
      <w:pPr>
        <w:spacing w:after="200" w:before="0"/>
      </w:pPr>
      <w:r>
        <w:rPr>
          <w:rFonts w:ascii="Calibri" w:cs="Calibri" w:eastAsia="Calibri" w:hAnsi="Calibri"/>
          <w:b w:val="false"/>
          <w:bCs w:val="false"/>
          <w:i w:val="false"/>
          <w:iCs w:val="false"/>
          <w:sz w:val="22"/>
          <w:szCs w:val="22"/>
        </w:rPr>
        <w:t xml:space="preserve">b) </w:t>
      </w:r>
      <w:r>
        <w:rPr>
          <w:rFonts w:ascii="Calibri" w:cs="Calibri" w:eastAsia="Calibri" w:hAnsi="Calibri"/>
          <w:b w:val="false"/>
          <w:bCs w:val="false"/>
          <w:i w:val="false"/>
          <w:iCs w:val="false"/>
          <w:sz w:val="22"/>
          <w:szCs w:val="22"/>
        </w:rPr>
        <w:t xml:space="preserve">Se reconozca el derecho a la devolución de los ingresos indebidos (efectuados por importe de </w:t>
      </w:r>
      <w:r>
        <w:rPr>
          <w:rFonts w:ascii="Calibri" w:cs="Calibri" w:eastAsia="Calibri" w:hAnsi="Calibri"/>
          <w:b/>
          <w:bCs/>
          <w:i w:val="false"/>
          <w:iCs w:val="false"/>
          <w:sz w:val="22"/>
          <w:szCs w:val="22"/>
        </w:rPr>
        <w:t xml:space="preserve">[CANTIDAD]</w:t>
      </w:r>
      <w:r>
        <w:rPr>
          <w:rFonts w:ascii="Calibri" w:cs="Calibri" w:eastAsia="Calibri" w:hAnsi="Calibri"/>
          <w:b w:val="false"/>
          <w:bCs w:val="false"/>
          <w:i w:val="false"/>
          <w:iCs w:val="false"/>
          <w:sz w:val="22"/>
          <w:szCs w:val="22"/>
        </w:rPr>
        <w:t xml:space="preserve"> €), con abono de los intereses de demora correspondientes desde la fecha del ingreso hasta la de su efectiva devolución.</w:t>
      </w:r>
    </w:p>
    <w:p>
      <w:pPr>
        <w:spacing w:after="200" w:before="0"/>
      </w:pPr>
      <w:r>
        <w:rPr>
          <w:rFonts w:ascii="Calibri" w:cs="Calibri" w:eastAsia="Calibri" w:hAnsi="Calibri"/>
          <w:b w:val="false"/>
          <w:bCs w:val="false"/>
          <w:i w:val="false"/>
          <w:iCs w:val="false"/>
          <w:sz w:val="22"/>
          <w:szCs w:val="22"/>
        </w:rPr>
        <w:t xml:space="preserve">Segundo. – </w:t>
      </w:r>
      <w:r>
        <w:rPr>
          <w:rFonts w:ascii="Calibri" w:cs="Calibri" w:eastAsia="Calibri" w:hAnsi="Calibri"/>
          <w:b w:val="false"/>
          <w:bCs w:val="false"/>
          <w:i w:val="false"/>
          <w:iCs w:val="false"/>
          <w:sz w:val="22"/>
          <w:szCs w:val="22"/>
        </w:rPr>
        <w:t xml:space="preserve">Que, al amparo de la normativa aplicable, se requiera al órgano gestor la puesta a disposición del expediente completo de liquidación, incluida la memoria o informe técnico-económico que sustente la Ordenanza y las tarifas del ejercicio impugnado, las series y fuentes de datos utilizadas para la fijación de los coeficientes de la unidad territorial correspondiente, y los criterios de reparto de costes entre categorías de usuarios, a efectos de su examen. En particular, se solicita copia del Informe Técnico-Económico de 12 de marzo de 2025 referido en el certificado del acuerdo plenario de 31 de marzo de 2025, así como constancia de si dicho informe estuvo efectivamente a disposición de los interesados –telemática o presencialmente– durante el plazo de información pública abierto por el anuncio publicado en el BOPMA núm. 70, de 11 de abril de 2025.</w:t>
      </w:r>
    </w:p>
    <w:p>
      <w:pPr>
        <w:spacing w:after="200" w:before="0"/>
      </w:pPr>
      <w:r>
        <w:rPr>
          <w:rFonts w:ascii="Calibri" w:cs="Calibri" w:eastAsia="Calibri" w:hAnsi="Calibri"/>
          <w:b w:val="false"/>
          <w:bCs w:val="false"/>
          <w:i w:val="false"/>
          <w:iCs w:val="false"/>
          <w:sz w:val="22"/>
          <w:szCs w:val="22"/>
        </w:rPr>
        <w:t xml:space="preserve"/>
      </w:r>
    </w:p>
    <w:p>
      <w:pPr>
        <w:spacing w:after="300" w:before="0"/>
      </w:pPr>
      <w:r>
        <w:rPr>
          <w:rFonts w:ascii="Calibri" w:cs="Calibri" w:eastAsia="Calibri" w:hAnsi="Calibri"/>
          <w:b w:val="false"/>
          <w:bCs w:val="false"/>
          <w:i w:val="false"/>
          <w:iCs w:val="false"/>
          <w:sz w:val="22"/>
          <w:szCs w:val="22"/>
        </w:rPr>
        <w:t xml:space="preserve">Es Justicia que se pide,</w:t>
      </w:r>
    </w:p>
    <w:p>
      <w:pPr>
        <w:spacing w:after="600" w:before="0"/>
      </w:pPr>
      <w:r>
        <w:rPr>
          <w:rFonts w:ascii="Calibri" w:cs="Calibri" w:eastAsia="Calibri" w:hAnsi="Calibri"/>
          <w:b w:val="false"/>
          <w:bCs w:val="false"/>
          <w:i w:val="false"/>
          <w:iCs w:val="false"/>
          <w:sz w:val="22"/>
          <w:szCs w:val="22"/>
        </w:rPr>
        <w:t xml:space="preserve">En Torre del Mar (Vélez-Málaga), a </w:t>
      </w:r>
      <w:r>
        <w:rPr>
          <w:rFonts w:ascii="Calibri" w:cs="Calibri" w:eastAsia="Calibri" w:hAnsi="Calibri"/>
          <w:b/>
          <w:bCs/>
          <w:i w:val="false"/>
          <w:iCs w:val="false"/>
          <w:sz w:val="22"/>
          <w:szCs w:val="22"/>
        </w:rPr>
        <w:t xml:space="preserve">[DÍA]</w:t>
      </w:r>
      <w:r>
        <w:rPr>
          <w:rFonts w:ascii="Calibri" w:cs="Calibri" w:eastAsia="Calibri" w:hAnsi="Calibri"/>
          <w:b w:val="false"/>
          <w:bCs w:val="false"/>
          <w:i w:val="false"/>
          <w:iCs w:val="false"/>
          <w:sz w:val="22"/>
          <w:szCs w:val="22"/>
        </w:rPr>
        <w:t xml:space="preserve"> de </w:t>
      </w:r>
      <w:r>
        <w:rPr>
          <w:rFonts w:ascii="Calibri" w:cs="Calibri" w:eastAsia="Calibri" w:hAnsi="Calibri"/>
          <w:b/>
          <w:bCs/>
          <w:i w:val="false"/>
          <w:iCs w:val="false"/>
          <w:sz w:val="22"/>
          <w:szCs w:val="22"/>
        </w:rPr>
        <w:t xml:space="preserve">[MES]</w:t>
      </w:r>
      <w:r>
        <w:rPr>
          <w:rFonts w:ascii="Calibri" w:cs="Calibri" w:eastAsia="Calibri" w:hAnsi="Calibri"/>
          <w:b w:val="false"/>
          <w:bCs w:val="false"/>
          <w:i w:val="false"/>
          <w:iCs w:val="false"/>
          <w:sz w:val="22"/>
          <w:szCs w:val="22"/>
        </w:rPr>
        <w:t xml:space="preserve"> de 2026</w:t>
      </w:r>
    </w:p>
    <w:p>
      <w:pPr>
        <w:spacing w:after="100" w:before="0"/>
        <w:jc w:val="right"/>
      </w:pPr>
      <w:r>
        <w:rPr>
          <w:rFonts w:ascii="Calibri" w:cs="Calibri" w:eastAsia="Calibri" w:hAnsi="Calibri"/>
          <w:b w:val="false"/>
          <w:bCs w:val="false"/>
          <w:i w:val="false"/>
          <w:iCs w:val="false"/>
          <w:sz w:val="22"/>
          <w:szCs w:val="22"/>
        </w:rPr>
        <w:t xml:space="preserve">[FIRMA]</w:t>
      </w:r>
    </w:p>
    <w:p>
      <w:pPr>
        <w:spacing w:after="60" w:before="0"/>
        <w:jc w:val="right"/>
      </w:pPr>
      <w:r>
        <w:rPr>
          <w:rFonts w:ascii="Calibri" w:cs="Calibri" w:eastAsia="Calibri" w:hAnsi="Calibri"/>
          <w:b w:val="false"/>
          <w:bCs w:val="false"/>
          <w:i w:val="false"/>
          <w:iCs w:val="false"/>
          <w:sz w:val="22"/>
          <w:szCs w:val="22"/>
        </w:rPr>
        <w:t xml:space="preserve">Fdo.: D./D.ª </w:t>
      </w:r>
      <w:r>
        <w:rPr>
          <w:rFonts w:ascii="Calibri" w:cs="Calibri" w:eastAsia="Calibri" w:hAnsi="Calibri"/>
          <w:b/>
          <w:bCs/>
          <w:i w:val="false"/>
          <w:iCs w:val="false"/>
          <w:sz w:val="22"/>
          <w:szCs w:val="22"/>
        </w:rPr>
        <w:t xml:space="preserve">[NOMBRE Y APELLIDOS]</w:t>
      </w:r>
    </w:p>
    <w:p>
      <w:pPr>
        <w:spacing w:after="400" w:before="0"/>
        <w:jc w:val="right"/>
      </w:pPr>
      <w:r>
        <w:rPr>
          <w:rFonts w:ascii="Calibri" w:cs="Calibri" w:eastAsia="Calibri" w:hAnsi="Calibri"/>
          <w:b w:val="false"/>
          <w:bCs w:val="false"/>
          <w:i w:val="false"/>
          <w:iCs w:val="false"/>
          <w:sz w:val="22"/>
          <w:szCs w:val="22"/>
        </w:rPr>
        <w:t xml:space="preserve">DNI/NIE Nº: [NÚMERO]</w:t>
      </w:r>
    </w:p>
    <w:p>
      <w:pPr>
        <w:spacing w:after="200" w:before="300"/>
      </w:pPr>
      <w:r>
        <w:rPr>
          <w:rFonts w:ascii="Calibri" w:cs="Calibri" w:eastAsia="Calibri" w:hAnsi="Calibri"/>
          <w:b/>
          <w:bCs/>
          <w:sz w:val="24"/>
          <w:szCs w:val="24"/>
          <w:u w:val="single"/>
        </w:rPr>
        <w:t xml:space="preserve">Documentación que se acompaña:</w:t>
      </w:r>
    </w:p>
    <w:p>
      <w:pPr>
        <w:spacing w:after="80" w:before="0"/>
      </w:pPr>
      <w:r>
        <w:rPr>
          <w:rFonts w:ascii="Calibri" w:cs="Calibri" w:eastAsia="Calibri" w:hAnsi="Calibri"/>
          <w:b w:val="false"/>
          <w:bCs w:val="false"/>
          <w:i w:val="false"/>
          <w:iCs w:val="false"/>
          <w:sz w:val="22"/>
          <w:szCs w:val="22"/>
        </w:rPr>
        <w:t xml:space="preserve">– Documento núm. 1: Copia de la liquidación notificada objeto de impugnación.</w:t>
      </w:r>
    </w:p>
    <w:p>
      <w:pPr>
        <w:spacing w:after="80" w:before="0"/>
      </w:pPr>
      <w:r>
        <w:rPr>
          <w:rFonts w:ascii="Calibri" w:cs="Calibri" w:eastAsia="Calibri" w:hAnsi="Calibri"/>
          <w:b w:val="false"/>
          <w:bCs w:val="false"/>
          <w:i w:val="false"/>
          <w:iCs w:val="false"/>
          <w:sz w:val="22"/>
          <w:szCs w:val="22"/>
        </w:rPr>
        <w:t xml:space="preserve">– Documento núm. 2: Justificante de pago de la liquidación recurrida.</w:t>
      </w:r>
    </w:p>
    <w:p>
      <w:pPr>
        <w:spacing w:after="80" w:before="0"/>
      </w:pPr>
      <w:r>
        <w:rPr>
          <w:rFonts w:ascii="Calibri" w:cs="Calibri" w:eastAsia="Calibri" w:hAnsi="Calibri"/>
          <w:b w:val="false"/>
          <w:bCs w:val="false"/>
          <w:i w:val="false"/>
          <w:iCs w:val="false"/>
          <w:sz w:val="22"/>
          <w:szCs w:val="22"/>
        </w:rPr>
        <w:t xml:space="preserve">– Documento núm. 3: [En su caso] Documentación acreditativa de representación (ej. si firma un cónyuge en nombre de otro o un administrador).</w:t>
      </w:r>
    </w:p>
    <w:p>
      <w:pPr>
        <w:spacing w:after="300" w:before="0"/>
      </w:pPr>
      <w:r>
        <w:rPr>
          <w:rFonts w:ascii="Calibri" w:cs="Calibri" w:eastAsia="Calibri" w:hAnsi="Calibri"/>
          <w:b w:val="false"/>
          <w:bCs w:val="false"/>
          <w:i w:val="false"/>
          <w:iCs w:val="false"/>
          <w:sz w:val="22"/>
          <w:szCs w:val="22"/>
        </w:rPr>
        <w:t xml:space="preserve">– Documento núm. 4: [Cualesquiera otros documentos pertinentes].</w:t>
      </w:r>
    </w:p>
    <w:p>
      <w:pPr>
        <w:spacing w:after="200" w:before="300"/>
      </w:pPr>
      <w:r>
        <w:rPr>
          <w:rFonts w:ascii="Calibri" w:cs="Calibri" w:eastAsia="Calibri" w:hAnsi="Calibri"/>
          <w:b/>
          <w:bCs/>
          <w:sz w:val="24"/>
          <w:szCs w:val="24"/>
          <w:u w:val="single"/>
        </w:rPr>
        <w:t xml:space="preserve">Notas prácticas para su adaptación (eliminar antes de firmar):</w:t>
      </w:r>
    </w:p>
    <w:p>
      <w:pPr>
        <w:spacing w:after="80" w:before="0"/>
      </w:pPr>
      <w:r>
        <w:rPr>
          <w:rFonts w:ascii="Calibri" w:cs="Calibri" w:eastAsia="Calibri" w:hAnsi="Calibri"/>
          <w:b w:val="false"/>
          <w:bCs w:val="false"/>
          <w:i w:val="false"/>
          <w:iCs w:val="false"/>
          <w:sz w:val="22"/>
          <w:szCs w:val="22"/>
        </w:rPr>
        <w:t xml:space="preserve">– Sustituya los corchetes por sus datos personales y los del acto notificado (número de liquidación, fechas, importes).</w:t>
      </w:r>
    </w:p>
    <w:p>
      <w:pPr>
        <w:spacing w:after="80" w:before="0"/>
      </w:pPr>
      <w:r>
        <w:rPr>
          <w:rFonts w:ascii="Calibri" w:cs="Calibri" w:eastAsia="Calibri" w:hAnsi="Calibri"/>
          <w:b w:val="false"/>
          <w:bCs w:val="false"/>
          <w:i w:val="false"/>
          <w:iCs w:val="false"/>
          <w:sz w:val="22"/>
          <w:szCs w:val="22"/>
        </w:rPr>
        <w:t xml:space="preserve">– El plazo para interponer este recurso es de UN MES desde la notificación de la liquidación. Verifique la fecha exacta antes de presentarlo.</w:t>
      </w:r>
    </w:p>
    <w:p>
      <w:pPr>
        <w:spacing w:after="80" w:before="0"/>
      </w:pPr>
      <w:r>
        <w:rPr>
          <w:rFonts w:ascii="Calibri" w:cs="Calibri" w:eastAsia="Calibri" w:hAnsi="Calibri"/>
          <w:b w:val="false"/>
          <w:bCs w:val="false"/>
          <w:i w:val="false"/>
          <w:iCs w:val="false"/>
          <w:sz w:val="22"/>
          <w:szCs w:val="22"/>
        </w:rPr>
        <w:t xml:space="preserve">– Presente el recurso a través de la sede electrónica / Oficina Virtual Tributaria del Patronato de Recaudación Provincial de Málaga (apartado “Reclamaciones”), no en la sede del Ayuntamiento.</w:t>
      </w:r>
    </w:p>
    <w:p>
      <w:pPr>
        <w:spacing w:after="80" w:before="0"/>
      </w:pPr>
      <w:r>
        <w:rPr>
          <w:rFonts w:ascii="Calibri" w:cs="Calibri" w:eastAsia="Calibri" w:hAnsi="Calibri"/>
          <w:b w:val="false"/>
          <w:bCs w:val="false"/>
          <w:i w:val="false"/>
          <w:iCs w:val="false"/>
          <w:sz w:val="22"/>
          <w:szCs w:val="22"/>
        </w:rPr>
        <w:t xml:space="preserve">– Realice el pago dentro del plazo voluntario antes de presentar o en paralelo al recurso, para evitar recargos de apremio; conserve el justificante como documento adjunto.</w:t>
      </w:r>
    </w:p>
    <w:p>
      <w:pPr>
        <w:spacing w:after="80" w:before="0"/>
      </w:pPr>
      <w:r>
        <w:rPr>
          <w:rFonts w:ascii="Calibri" w:cs="Calibri" w:eastAsia="Calibri" w:hAnsi="Calibri"/>
          <w:b w:val="false"/>
          <w:bCs w:val="false"/>
          <w:i w:val="false"/>
          <w:iCs w:val="false"/>
          <w:sz w:val="22"/>
          <w:szCs w:val="22"/>
        </w:rPr>
        <w:t xml:space="preserve">– Si dispone de datos adicionales del expediente que evidencien que la recaudación total excede el coste real del servicio, incorpórelos en el Fundamento III.</w:t>
      </w:r>
    </w:p>
    <w:sectPr>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2026-08-31T19:21:33.696Z</dcterms:created>
  <dcterms:modified xsi:type="dcterms:W3CDTF">2026-08-31T19:21:33.710Z</dcterms:modified>
</cp:coreProperties>
</file>

<file path=docProps/custom.xml><?xml version="1.0" encoding="utf-8"?>
<Properties xmlns="http://schemas.openxmlformats.org/officeDocument/2006/custom-properties" xmlns:vt="http://schemas.openxmlformats.org/officeDocument/2006/docPropsVTypes"/>
</file>