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320" w:after="200"/>
        <w:jc w:val="center"/>
        <w:rPr>
          <w:b/>
          <w:bCs/>
          <w:color w:val="FF0000"/>
          <w:sz w:val="40"/>
          <w:szCs w:val="40"/>
        </w:rPr>
      </w:pPr>
      <w:r>
        <w:rPr>
          <w:b/>
          <w:bCs/>
          <w:color w:val="FF0000"/>
          <w:sz w:val="40"/>
          <w:szCs w:val="40"/>
        </w:rPr>
        <w:t>ELIMINAR ESTA PÁGINA ANTES DE FIRMAR</w:t>
      </w:r>
    </w:p>
    <w:p>
      <w:pPr>
        <w:pStyle w:val="Normal"/>
        <w:widowControl/>
        <w:bidi w:val="0"/>
        <w:spacing w:before="320" w:after="200"/>
        <w:jc w:val="center"/>
        <w:rPr>
          <w:b/>
          <w:bCs/>
          <w:color w:val="FF0000"/>
          <w:sz w:val="40"/>
          <w:szCs w:val="40"/>
        </w:rPr>
      </w:pPr>
      <w:r>
        <w:rPr>
          <w:rFonts w:eastAsia="Calibri" w:cs="Calibri" w:ascii="Calibri" w:hAnsi="Calibri"/>
          <w:b/>
          <w:bCs/>
          <w:color w:val="FF0000"/>
          <w:sz w:val="32"/>
          <w:szCs w:val="32"/>
          <w:u w:val="single"/>
        </w:rPr>
        <w:t>PUES ES SOLO INFORMATIVA</w:t>
      </w:r>
    </w:p>
    <w:p>
      <w:pPr>
        <w:pStyle w:val="Normal"/>
        <w:widowControl/>
        <w:bidi w:val="0"/>
        <w:spacing w:before="320" w:after="200"/>
        <w:jc w:val="start"/>
        <w:rPr>
          <w:rFonts w:ascii="Calibri" w:hAnsi="Calibri" w:eastAsia="Calibri" w:cs="Calibri"/>
          <w:b/>
          <w:bCs/>
          <w:sz w:val="24"/>
          <w:szCs w:val="24"/>
          <w:u w:val="single"/>
        </w:rPr>
      </w:pPr>
      <w:r>
        <w:rPr>
          <w:rFonts w:eastAsia="Calibri" w:cs="Calibri" w:ascii="Calibri" w:hAnsi="Calibri"/>
          <w:b/>
          <w:bCs/>
          <w:sz w:val="24"/>
          <w:szCs w:val="24"/>
          <w:u w:val="single"/>
        </w:rPr>
        <w:t xml:space="preserve">NOTAS PARA QUIEN LO PRESENTA </w:t>
      </w:r>
    </w:p>
    <w:p>
      <w:pPr>
        <w:pStyle w:val="Normal"/>
        <w:spacing w:before="0" w:after="80"/>
        <w:rPr/>
      </w:pPr>
      <w:r>
        <w:rPr>
          <w:rFonts w:eastAsia="Calibri" w:cs="Calibri" w:ascii="Calibri" w:hAnsi="Calibri"/>
          <w:b w:val="false"/>
          <w:bCs w:val="false"/>
          <w:i w:val="false"/>
          <w:iCs w:val="false"/>
          <w:sz w:val="22"/>
          <w:szCs w:val="22"/>
        </w:rPr>
        <w:t xml:space="preserve">– </w:t>
      </w:r>
      <w:r>
        <w:rPr>
          <w:rFonts w:eastAsia="Calibri" w:cs="Calibri" w:ascii="Calibri" w:hAnsi="Calibri"/>
          <w:b/>
          <w:bCs/>
          <w:i w:val="false"/>
          <w:iCs w:val="false"/>
          <w:sz w:val="22"/>
          <w:szCs w:val="22"/>
        </w:rPr>
        <w:t>Rellene la tabla del encabezamiento y sustituya los corchetes</w:t>
      </w:r>
      <w:r>
        <w:rPr>
          <w:rFonts w:eastAsia="Calibri" w:cs="Calibri" w:ascii="Calibri" w:hAnsi="Calibri"/>
          <w:b w:val="false"/>
          <w:bCs w:val="false"/>
          <w:i w:val="false"/>
          <w:iCs w:val="false"/>
          <w:sz w:val="22"/>
          <w:szCs w:val="22"/>
        </w:rPr>
        <w:t>. Los datos salen de su carta de pago: “Identificación de la Liquidación” y “Expediente de gestión”.</w:t>
      </w:r>
    </w:p>
    <w:p>
      <w:pPr>
        <w:pStyle w:val="Normal"/>
        <w:spacing w:before="0" w:after="80"/>
        <w:rPr/>
      </w:pPr>
      <w:r>
        <w:rPr>
          <w:rFonts w:eastAsia="Calibri" w:cs="Calibri" w:ascii="Calibri" w:hAnsi="Calibri"/>
          <w:b w:val="false"/>
          <w:bCs w:val="false"/>
          <w:i w:val="false"/>
          <w:iCs w:val="false"/>
          <w:sz w:val="22"/>
          <w:szCs w:val="22"/>
        </w:rPr>
        <w:t xml:space="preserve">– </w:t>
      </w:r>
      <w:r>
        <w:rPr>
          <w:rFonts w:eastAsia="Calibri" w:cs="Calibri" w:ascii="Calibri" w:hAnsi="Calibri"/>
          <w:b w:val="false"/>
          <w:bCs w:val="false"/>
          <w:i w:val="false"/>
          <w:iCs w:val="false"/>
          <w:sz w:val="22"/>
          <w:szCs w:val="22"/>
        </w:rPr>
        <w:t xml:space="preserve">La Ordenanza aplicable a </w:t>
      </w:r>
      <w:r>
        <w:rPr>
          <w:rFonts w:eastAsia="Calibri" w:cs="Calibri" w:ascii="Calibri" w:hAnsi="Calibri"/>
          <w:b/>
          <w:bCs/>
          <w:i w:val="false"/>
          <w:iCs w:val="false"/>
          <w:sz w:val="22"/>
          <w:szCs w:val="22"/>
        </w:rPr>
        <w:t>viviendas</w:t>
      </w:r>
      <w:r>
        <w:rPr>
          <w:rFonts w:eastAsia="Calibri" w:cs="Calibri" w:ascii="Calibri" w:hAnsi="Calibri"/>
          <w:b w:val="false"/>
          <w:bCs w:val="false"/>
          <w:i w:val="false"/>
          <w:iCs w:val="false"/>
          <w:sz w:val="22"/>
          <w:szCs w:val="22"/>
        </w:rPr>
        <w:t xml:space="preserve"> es la Ordenanza fiscal </w:t>
      </w:r>
      <w:r>
        <w:rPr>
          <w:rFonts w:eastAsia="Calibri" w:cs="Calibri" w:ascii="Calibri" w:hAnsi="Calibri"/>
          <w:b/>
          <w:bCs/>
          <w:i w:val="false"/>
          <w:iCs w:val="false"/>
          <w:sz w:val="22"/>
          <w:szCs w:val="22"/>
        </w:rPr>
        <w:t xml:space="preserve">n.º 33 </w:t>
      </w:r>
      <w:r>
        <w:rPr>
          <w:rFonts w:eastAsia="Calibri" w:cs="Calibri" w:ascii="Calibri" w:hAnsi="Calibri"/>
          <w:b w:val="false"/>
          <w:bCs w:val="false"/>
          <w:i w:val="false"/>
          <w:iCs w:val="false"/>
          <w:sz w:val="22"/>
          <w:szCs w:val="22"/>
        </w:rPr>
        <w:t xml:space="preserve">del Ayuntamiento de Vélez-Málaga, publicada en el BOPMA de 3 de diciembre de 2025. La </w:t>
      </w:r>
      <w:r>
        <w:rPr>
          <w:rFonts w:eastAsia="Calibri" w:cs="Calibri" w:ascii="Calibri" w:hAnsi="Calibri"/>
          <w:b/>
          <w:bCs/>
          <w:i w:val="false"/>
          <w:iCs w:val="false"/>
          <w:sz w:val="22"/>
          <w:szCs w:val="22"/>
        </w:rPr>
        <w:t>n.º 34</w:t>
      </w:r>
      <w:r>
        <w:rPr>
          <w:rFonts w:eastAsia="Calibri" w:cs="Calibri" w:ascii="Calibri" w:hAnsi="Calibri"/>
          <w:b w:val="false"/>
          <w:bCs w:val="false"/>
          <w:i w:val="false"/>
          <w:iCs w:val="false"/>
          <w:sz w:val="22"/>
          <w:szCs w:val="22"/>
        </w:rPr>
        <w:t xml:space="preserve"> regula la tasa de los inmuebles destinados a </w:t>
      </w:r>
      <w:r>
        <w:rPr>
          <w:rFonts w:eastAsia="Calibri" w:cs="Calibri" w:ascii="Calibri" w:hAnsi="Calibri"/>
          <w:b/>
          <w:bCs/>
          <w:i w:val="false"/>
          <w:iCs w:val="false"/>
          <w:sz w:val="22"/>
          <w:szCs w:val="22"/>
        </w:rPr>
        <w:t>actividades económicas</w:t>
      </w:r>
      <w:r>
        <w:rPr>
          <w:rFonts w:eastAsia="Calibri" w:cs="Calibri" w:ascii="Calibri" w:hAnsi="Calibri"/>
          <w:b w:val="false"/>
          <w:bCs w:val="false"/>
          <w:i w:val="false"/>
          <w:iCs w:val="false"/>
          <w:sz w:val="22"/>
          <w:szCs w:val="22"/>
        </w:rPr>
        <w:t>: si su liquidación es de esa, no use este modelo.</w:t>
      </w:r>
    </w:p>
    <w:p>
      <w:pPr>
        <w:pStyle w:val="Normal"/>
        <w:spacing w:before="0" w:after="80"/>
        <w:rPr/>
      </w:pPr>
      <w:r>
        <w:rPr>
          <w:rFonts w:eastAsia="Calibri" w:cs="Calibri" w:ascii="Calibri" w:hAnsi="Calibri"/>
          <w:b w:val="false"/>
          <w:bCs w:val="false"/>
          <w:i w:val="false"/>
          <w:iCs w:val="false"/>
          <w:sz w:val="22"/>
          <w:szCs w:val="22"/>
        </w:rPr>
        <w:t xml:space="preserve">– </w:t>
      </w:r>
      <w:r>
        <w:rPr>
          <w:rFonts w:eastAsia="Calibri" w:cs="Calibri" w:ascii="Calibri" w:hAnsi="Calibri"/>
          <w:b w:val="false"/>
          <w:bCs w:val="false"/>
          <w:i w:val="false"/>
          <w:iCs w:val="false"/>
          <w:sz w:val="22"/>
          <w:szCs w:val="22"/>
        </w:rPr>
        <w:t>En el a</w:t>
      </w:r>
      <w:r>
        <w:rPr>
          <w:rFonts w:eastAsia="Calibri" w:cs="Calibri" w:ascii="Calibri" w:hAnsi="Calibri"/>
          <w:b/>
          <w:bCs/>
          <w:i w:val="false"/>
          <w:iCs w:val="false"/>
          <w:sz w:val="22"/>
          <w:szCs w:val="22"/>
        </w:rPr>
        <w:t>partado 8 conserve SOLO las casillas que concurran en su caso y pueda probar. No las marque todas por sistema: debilita el escrito.</w:t>
      </w:r>
    </w:p>
    <w:p>
      <w:pPr>
        <w:pStyle w:val="Normal"/>
        <w:spacing w:before="0" w:after="80"/>
        <w:rPr/>
      </w:pPr>
      <w:r>
        <w:rPr>
          <w:rFonts w:eastAsia="Calibri" w:cs="Calibri" w:ascii="Calibri" w:hAnsi="Calibri"/>
          <w:b w:val="false"/>
          <w:bCs w:val="false"/>
          <w:i w:val="false"/>
          <w:iCs w:val="false"/>
          <w:sz w:val="22"/>
          <w:szCs w:val="22"/>
        </w:rPr>
        <w:t xml:space="preserve">– </w:t>
      </w:r>
      <w:r>
        <w:rPr>
          <w:rFonts w:eastAsia="Calibri" w:cs="Calibri" w:ascii="Calibri" w:hAnsi="Calibri"/>
          <w:b/>
          <w:bCs/>
          <w:i w:val="false"/>
          <w:iCs w:val="false"/>
          <w:sz w:val="22"/>
          <w:szCs w:val="22"/>
        </w:rPr>
        <w:t>Plazo: UN MES desde la notificación</w:t>
      </w:r>
      <w:r>
        <w:rPr>
          <w:rFonts w:eastAsia="Calibri" w:cs="Calibri" w:ascii="Calibri" w:hAnsi="Calibri"/>
          <w:b w:val="false"/>
          <w:bCs w:val="false"/>
          <w:i w:val="false"/>
          <w:iCs w:val="false"/>
          <w:sz w:val="22"/>
          <w:szCs w:val="22"/>
        </w:rPr>
        <w:t>. Presentar en la Oficina Virtual Tributaria del Patronato (“Instancia General Tributaria”) o presencialmente con cita previa.</w:t>
      </w:r>
    </w:p>
    <w:p>
      <w:pPr>
        <w:pStyle w:val="Normal"/>
        <w:spacing w:before="0" w:after="80"/>
        <w:rPr/>
      </w:pPr>
      <w:r>
        <w:rPr>
          <w:rFonts w:eastAsia="Calibri" w:cs="Calibri" w:ascii="Calibri" w:hAnsi="Calibri"/>
          <w:b/>
          <w:bCs/>
          <w:i w:val="false"/>
          <w:iCs w:val="false"/>
          <w:sz w:val="22"/>
          <w:szCs w:val="22"/>
        </w:rPr>
        <w:t xml:space="preserve">– </w:t>
      </w:r>
      <w:r>
        <w:rPr>
          <w:rFonts w:eastAsia="Calibri" w:cs="Calibri" w:ascii="Calibri" w:hAnsi="Calibri"/>
          <w:b/>
          <w:bCs/>
          <w:i w:val="false"/>
          <w:iCs w:val="false"/>
          <w:sz w:val="22"/>
          <w:szCs w:val="22"/>
        </w:rPr>
        <w:t>Pagar ANTES de reclamar,</w:t>
      </w:r>
      <w:r>
        <w:rPr>
          <w:rFonts w:eastAsia="Calibri" w:cs="Calibri" w:ascii="Calibri" w:hAnsi="Calibri"/>
          <w:b w:val="false"/>
          <w:bCs w:val="false"/>
          <w:i w:val="false"/>
          <w:iCs w:val="false"/>
          <w:sz w:val="22"/>
          <w:szCs w:val="22"/>
        </w:rPr>
        <w:t xml:space="preserve"> así adjuntas el justificante, pues estamos pidiendo la DEVOLUCIÓN ; el recurso no suspende el cobro salvo que se pida suspensión con garantía.</w:t>
      </w:r>
    </w:p>
    <w:p>
      <w:pPr>
        <w:pStyle w:val="Normal"/>
        <w:spacing w:before="0" w:after="80"/>
        <w:rPr>
          <w:b w:val="false"/>
          <w:bCs w:val="false"/>
          <w:i w:val="false"/>
          <w:iCs w:val="false"/>
          <w:sz w:val="22"/>
          <w:szCs w:val="22"/>
        </w:rPr>
      </w:pPr>
      <w:r>
        <w:rPr>
          <w:b w:val="false"/>
          <w:bCs w:val="false"/>
          <w:i w:val="false"/>
          <w:iCs w:val="false"/>
          <w:sz w:val="22"/>
          <w:szCs w:val="22"/>
        </w:rPr>
      </w:r>
    </w:p>
    <w:p>
      <w:pPr>
        <w:pStyle w:val="Normal"/>
        <w:spacing w:before="320" w:after="200"/>
        <w:rPr/>
      </w:pPr>
      <w:r>
        <w:rPr>
          <w:rFonts w:eastAsia="Calibri" w:cs="Calibri" w:ascii="Calibri" w:hAnsi="Calibri"/>
          <w:b/>
          <w:bCs/>
          <w:sz w:val="24"/>
          <w:szCs w:val="24"/>
          <w:u w:val="single"/>
        </w:rPr>
        <w:t>DOCUMENTOS QUE SE DEBERÍAN INCLUIR</w:t>
      </w:r>
    </w:p>
    <w:p>
      <w:pPr>
        <w:pStyle w:val="Normal"/>
        <w:spacing w:before="0" w:after="80"/>
        <w:rPr/>
      </w:pPr>
      <w:r>
        <w:rPr>
          <w:rFonts w:eastAsia="Calibri" w:cs="Calibri" w:ascii="Calibri" w:hAnsi="Calibri"/>
          <w:b w:val="false"/>
          <w:bCs w:val="false"/>
          <w:i w:val="false"/>
          <w:iCs w:val="false"/>
          <w:sz w:val="22"/>
          <w:szCs w:val="22"/>
        </w:rPr>
        <w:t>Documento n.º 1 – Copia de la liquidación / carta de pago notificada.</w:t>
      </w:r>
    </w:p>
    <w:p>
      <w:pPr>
        <w:pStyle w:val="Normal"/>
        <w:spacing w:before="0" w:after="80"/>
        <w:rPr/>
      </w:pPr>
      <w:r>
        <w:rPr>
          <w:rFonts w:eastAsia="Calibri" w:cs="Calibri" w:ascii="Calibri" w:hAnsi="Calibri"/>
          <w:b w:val="false"/>
          <w:bCs w:val="false"/>
          <w:i w:val="false"/>
          <w:iCs w:val="false"/>
          <w:sz w:val="22"/>
          <w:szCs w:val="22"/>
        </w:rPr>
        <w:t>Documento n.º 2 – Justificante de pago.</w:t>
      </w:r>
    </w:p>
    <w:p>
      <w:pPr>
        <w:pStyle w:val="Normal"/>
        <w:spacing w:before="0" w:after="80"/>
        <w:rPr/>
      </w:pPr>
      <w:r>
        <w:rPr>
          <w:rFonts w:eastAsia="Calibri" w:cs="Calibri" w:ascii="Calibri" w:hAnsi="Calibri"/>
          <w:b w:val="false"/>
          <w:bCs w:val="false"/>
          <w:i w:val="false"/>
          <w:iCs w:val="false"/>
          <w:sz w:val="22"/>
          <w:szCs w:val="22"/>
        </w:rPr>
        <w:t>Documento n.º 3 – Justificante de la fecha de recepción o de acceso a la notificación electrónica.</w:t>
      </w:r>
    </w:p>
    <w:p>
      <w:pPr>
        <w:pStyle w:val="Normal"/>
        <w:spacing w:before="0" w:after="300"/>
        <w:rPr/>
      </w:pPr>
      <w:r>
        <w:rPr>
          <w:rFonts w:eastAsia="Calibri" w:cs="Calibri" w:ascii="Calibri" w:hAnsi="Calibri"/>
          <w:b w:val="false"/>
          <w:bCs w:val="false"/>
          <w:i w:val="false"/>
          <w:iCs w:val="false"/>
          <w:sz w:val="22"/>
          <w:szCs w:val="22"/>
        </w:rPr>
        <w:t>Documento n.º 4 – [Documentación acreditativa de los errores alegados en el apartado 8, si procede].</w:t>
      </w:r>
    </w:p>
    <w:p>
      <w:pPr>
        <w:pStyle w:val="Normal"/>
        <w:widowControl/>
        <w:bidi w:val="0"/>
        <w:spacing w:before="320" w:after="200"/>
        <w:jc w:val="center"/>
        <w:rPr>
          <w:b/>
          <w:bCs/>
          <w:color w:val="FF0000"/>
          <w:sz w:val="40"/>
          <w:szCs w:val="40"/>
        </w:rPr>
      </w:pPr>
      <w:r>
        <w:rPr>
          <w:b/>
          <w:bCs/>
          <w:color w:val="FF0000"/>
          <w:sz w:val="40"/>
          <w:szCs w:val="40"/>
        </w:rPr>
        <w:t>ELIMINAR ESTA PÁGINA ANTES DE FIRMAR</w:t>
      </w:r>
    </w:p>
    <w:p>
      <w:pPr>
        <w:pStyle w:val="Normal"/>
        <w:widowControl/>
        <w:bidi w:val="0"/>
        <w:spacing w:before="320" w:after="200"/>
        <w:jc w:val="center"/>
        <w:rPr>
          <w:b/>
          <w:bCs/>
          <w:color w:val="FF0000"/>
          <w:sz w:val="40"/>
          <w:szCs w:val="40"/>
        </w:rPr>
      </w:pPr>
      <w:r>
        <w:rPr>
          <w:b/>
          <w:bCs/>
          <w:color w:val="FF0000"/>
          <w:sz w:val="40"/>
          <w:szCs w:val="40"/>
        </w:rPr>
        <w:t>PUES ES SOLO INFORMATIVA</w:t>
      </w:r>
      <w:r>
        <w:br w:type="page"/>
      </w:r>
    </w:p>
    <w:p>
      <w:pPr>
        <w:pStyle w:val="Normal"/>
        <w:spacing w:before="0" w:after="120"/>
        <w:jc w:val="center"/>
        <w:rPr>
          <w:rFonts w:ascii="Calibri" w:hAnsi="Calibri" w:eastAsia="Calibri" w:cs="Calibri"/>
          <w:b/>
          <w:bCs/>
          <w:sz w:val="26"/>
          <w:szCs w:val="26"/>
        </w:rPr>
      </w:pPr>
      <w:r>
        <w:rPr>
          <w:rFonts w:eastAsia="Calibri" w:cs="Calibri" w:ascii="Calibri" w:hAnsi="Calibri"/>
          <w:b/>
          <w:bCs/>
          <w:sz w:val="26"/>
          <w:szCs w:val="26"/>
        </w:rPr>
        <w:t>RECURSO DE REPOSICIÓN CONTRA LIQUIDACIÓN</w:t>
      </w:r>
    </w:p>
    <w:p>
      <w:pPr>
        <w:pStyle w:val="Normal"/>
        <w:spacing w:before="0" w:after="120"/>
        <w:jc w:val="center"/>
        <w:rPr/>
      </w:pPr>
      <w:r>
        <w:rPr>
          <w:rFonts w:eastAsia="Calibri" w:cs="Calibri" w:ascii="Calibri" w:hAnsi="Calibri"/>
          <w:b/>
          <w:bCs/>
          <w:sz w:val="21"/>
          <w:szCs w:val="21"/>
        </w:rPr>
        <w:t>TASA DE RESIDUOS DOMÉSTICOS · EJERCICIO 2026 · AYUNTAMIENTO DE VÉLEZ-MÁLAGA</w:t>
      </w:r>
    </w:p>
    <w:p>
      <w:pPr>
        <w:pStyle w:val="Normal"/>
        <w:spacing w:before="0" w:after="200"/>
        <w:rPr/>
      </w:pPr>
      <w:r>
        <w:rPr/>
      </w:r>
    </w:p>
    <w:tbl>
      <w:tblPr>
        <w:tblW w:w="5000" w:type="pct"/>
        <w:jc w:val="start"/>
        <w:tblInd w:w="0" w:type="dxa"/>
        <w:tblLayout w:type="fixed"/>
        <w:tblCellMar>
          <w:top w:w="60" w:type="dxa"/>
          <w:start w:w="100" w:type="dxa"/>
          <w:bottom w:w="60" w:type="dxa"/>
          <w:end w:w="100" w:type="dxa"/>
        </w:tblCellMar>
      </w:tblPr>
      <w:tblGrid>
        <w:gridCol w:w="4535"/>
        <w:gridCol w:w="4537"/>
      </w:tblGrid>
      <w:tr>
        <w:trPr/>
        <w:tc>
          <w:tcPr>
            <w:tcW w:w="4535" w:type="dxa"/>
            <w:tcBorders>
              <w:top w:val="single" w:sz="4"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RECURRENTE</w:t>
            </w:r>
          </w:p>
        </w:tc>
        <w:tc>
          <w:tcPr>
            <w:tcW w:w="4537" w:type="dxa"/>
            <w:tcBorders>
              <w:top w:val="single" w:sz="4"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[NOMBRE Y APELLIDOS]</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DNI / NIE</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[NÚMERO]</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DOMICILIO</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[CALLE, NÚMERO, PISO] — Torre del Mar, 29740 Vélez-Málaga (Málaga)</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NOTIFICACIONES</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[CORREO ELECTRÓNICO] / [TELÉFONO]</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TRIBUTO</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Tasa por recogida, transporte y tratamiento de residuos sólidos urbanos domésticos — ejercicio 2026</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Nº DE LIQUIDACIÓN</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[ver carta de pago: (aparece dos veces: arriba como "Identificación de liquidación a notificar" y en el detalle como "Identificación de la Liquidación"). Algo como 20263I290xxxxxxx</w:t>
            </w:r>
            <w:r>
              <w:rPr>
                <w:rStyle w:val="Emphasis"/>
                <w:rFonts w:eastAsia="Calibri" w:cs="Calibri" w:ascii="Calibri" w:hAnsi="Calibri"/>
                <w:b w:val="false"/>
                <w:bCs w:val="false"/>
                <w:sz w:val="20"/>
                <w:szCs w:val="20"/>
              </w:rPr>
              <w:t>xxxxxx</w:t>
            </w:r>
            <w:r>
              <w:rPr>
                <w:rFonts w:eastAsia="Calibri" w:cs="Calibri" w:ascii="Calibri" w:hAnsi="Calibri"/>
                <w:b w:val="false"/>
                <w:bCs w:val="false"/>
                <w:sz w:val="20"/>
                <w:szCs w:val="20"/>
              </w:rPr>
              <w:t xml:space="preserve"> </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EXPEDIENTE DE GESTIÓN</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w:t>
            </w:r>
            <w:r>
              <w:rPr>
                <w:rFonts w:eastAsia="Calibri" w:cs="Calibri" w:ascii="Calibri" w:hAnsi="Calibri"/>
                <w:b w:val="false"/>
                <w:bCs w:val="false"/>
                <w:sz w:val="20"/>
                <w:szCs w:val="20"/>
              </w:rPr>
              <w:t xml:space="preserve">ver en </w:t>
            </w:r>
            <w:r>
              <w:rPr/>
              <w:t>Carta de Pago: Detalles de la Liquidación : Expediente de Gestión</w:t>
            </w:r>
            <w:r>
              <w:rPr>
                <w:rFonts w:eastAsia="Calibri" w:cs="Calibri" w:ascii="Calibri" w:hAnsi="Calibri"/>
                <w:b w:val="false"/>
                <w:bCs w:val="false"/>
                <w:sz w:val="20"/>
                <w:szCs w:val="20"/>
              </w:rPr>
              <w:t>]</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IMPORTE</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[__] €</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FECHA DE NOTIFICACIÓN</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[fecha de recepción o de acceso a la notificación electrónica]</w:t>
            </w:r>
          </w:p>
        </w:tc>
      </w:tr>
      <w:tr>
        <w:trPr/>
        <w:tc>
          <w:tcPr>
            <w:tcW w:w="4535" w:type="dxa"/>
            <w:tcBorders>
              <w:top w:val="single" w:sz="2" w:space="0" w:color="000000"/>
              <w:start w:val="single" w:sz="4" w:space="0" w:color="000000"/>
              <w:bottom w:val="single" w:sz="4" w:space="0" w:color="000000"/>
              <w:end w:val="single" w:sz="2" w:space="0" w:color="000000"/>
            </w:tcBorders>
          </w:tcPr>
          <w:p>
            <w:pPr>
              <w:pStyle w:val="Normal"/>
              <w:rPr/>
            </w:pPr>
            <w:r>
              <w:rPr>
                <w:rFonts w:eastAsia="Calibri" w:cs="Calibri" w:ascii="Calibri" w:hAnsi="Calibri"/>
                <w:b/>
                <w:bCs/>
                <w:sz w:val="20"/>
                <w:szCs w:val="20"/>
              </w:rPr>
              <w:t>FECHA Y MEDIO DE PAGO</w:t>
            </w:r>
          </w:p>
        </w:tc>
        <w:tc>
          <w:tcPr>
            <w:tcW w:w="4537" w:type="dxa"/>
            <w:tcBorders>
              <w:top w:val="single" w:sz="2" w:space="0" w:color="000000"/>
              <w:start w:val="single" w:sz="2" w:space="0" w:color="000000"/>
              <w:bottom w:val="single" w:sz="4" w:space="0" w:color="000000"/>
              <w:end w:val="single" w:sz="4" w:space="0" w:color="000000"/>
            </w:tcBorders>
          </w:tcPr>
          <w:p>
            <w:pPr>
              <w:pStyle w:val="Normal"/>
              <w:rPr/>
            </w:pPr>
            <w:r>
              <w:rPr>
                <w:rFonts w:eastAsia="Calibri" w:cs="Calibri" w:ascii="Calibri" w:hAnsi="Calibri"/>
                <w:b w:val="false"/>
                <w:bCs w:val="false"/>
                <w:sz w:val="20"/>
                <w:szCs w:val="20"/>
              </w:rPr>
              <w:t>[fecha] — [ingreso en cuenta / transferencia / tarjeta / efectivo]</w:t>
            </w:r>
          </w:p>
        </w:tc>
      </w:tr>
    </w:tbl>
    <w:p>
      <w:pPr>
        <w:pStyle w:val="Normal"/>
        <w:spacing w:before="0" w:after="300"/>
        <w:rPr/>
      </w:pPr>
      <w:r>
        <w:rPr/>
      </w:r>
    </w:p>
    <w:p>
      <w:pPr>
        <w:pStyle w:val="Normal"/>
        <w:spacing w:before="0" w:after="300"/>
        <w:rPr/>
      </w:pPr>
      <w:r>
        <w:rPr>
          <w:rFonts w:eastAsia="Calibri" w:cs="Calibri" w:ascii="Calibri" w:hAnsi="Calibri"/>
          <w:b/>
          <w:bCs/>
          <w:i w:val="false"/>
          <w:iCs w:val="false"/>
          <w:sz w:val="22"/>
          <w:szCs w:val="22"/>
        </w:rPr>
        <w:t>AL SR./A. GERENTE DEL PATRONATO DE RECAUDACIÓN PROVINCIAL DE MÁLAGA</w:t>
      </w:r>
      <w:r>
        <w:rPr>
          <w:rFonts w:eastAsia="Calibri" w:cs="Calibri" w:ascii="Calibri" w:hAnsi="Calibri"/>
          <w:b w:val="false"/>
          <w:bCs w:val="false"/>
          <w:i w:val="false"/>
          <w:iCs w:val="false"/>
          <w:sz w:val="22"/>
          <w:szCs w:val="22"/>
        </w:rPr>
        <w:t xml:space="preserve"> (Agencia Pública de Servicios Económicos Provinciales de Málaga), órgano de gestión tributaria y recaudatoria por delegación del Excmo. Ayuntamiento de Vélez-Málaga.</w:t>
      </w:r>
    </w:p>
    <w:p>
      <w:pPr>
        <w:pStyle w:val="Normal"/>
        <w:spacing w:before="0" w:after="300"/>
        <w:rPr/>
      </w:pPr>
      <w:r>
        <w:rPr>
          <w:rFonts w:eastAsia="Calibri" w:cs="Calibri" w:ascii="Calibri" w:hAnsi="Calibri"/>
          <w:b w:val="false"/>
          <w:bCs w:val="false"/>
          <w:i w:val="false"/>
          <w:iCs w:val="false"/>
          <w:sz w:val="22"/>
          <w:szCs w:val="22"/>
        </w:rPr>
        <w:t>El/la recurrente identificado/a en el encabezamiento, mayor de edad, comparece y, como mejor proceda en Derecho,</w:t>
      </w:r>
    </w:p>
    <w:p>
      <w:pPr>
        <w:pStyle w:val="Normal"/>
        <w:spacing w:before="320" w:after="200"/>
        <w:rPr/>
      </w:pPr>
      <w:r>
        <w:rPr>
          <w:rFonts w:eastAsia="Calibri" w:cs="Calibri" w:ascii="Calibri" w:hAnsi="Calibri"/>
          <w:b/>
          <w:bCs/>
          <w:sz w:val="24"/>
          <w:szCs w:val="24"/>
          <w:u w:val="single"/>
        </w:rPr>
        <w:t>EXPONE</w:t>
      </w:r>
    </w:p>
    <w:p>
      <w:pPr>
        <w:pStyle w:val="Normal"/>
        <w:spacing w:before="0" w:after="200"/>
        <w:rPr/>
      </w:pPr>
      <w:r>
        <w:rPr>
          <w:rFonts w:eastAsia="Calibri" w:cs="Calibri" w:ascii="Calibri" w:hAnsi="Calibri"/>
          <w:b w:val="false"/>
          <w:bCs w:val="false"/>
          <w:i w:val="false"/>
          <w:iCs w:val="false"/>
          <w:sz w:val="22"/>
          <w:szCs w:val="22"/>
        </w:rPr>
        <w:t xml:space="preserve">Primero. – Que en la fecha indicada en el encabezamiento le ha sido notificada la liquidación reseñada, correspondiente a la “Tasa por la prestación del servicio de recogida, transporte y tratamiento de residuos sólidos urbanos domésticos” del ejercicio 2026, girada por el Patronato de Recaudación Provincial de Málaga por delegación del Ayuntamiento de Vélez-Málaga, con fundamento en la Ordenanza fiscal reguladora de dicha tasa </w:t>
      </w:r>
      <w:r>
        <w:rPr>
          <w:rFonts w:eastAsia="Calibri" w:cs="Calibri" w:ascii="Calibri" w:hAnsi="Calibri"/>
          <w:b w:val="false"/>
          <w:bCs/>
          <w:i w:val="false"/>
          <w:iCs w:val="false"/>
          <w:sz w:val="22"/>
          <w:szCs w:val="22"/>
        </w:rPr>
        <w:t>Ordenanza fiscal n.º 33 del Ayuntamiento de Vélez-Málaga</w:t>
      </w:r>
      <w:r>
        <w:rPr>
          <w:rFonts w:eastAsia="Calibri" w:cs="Calibri" w:ascii="Calibri" w:hAnsi="Calibri"/>
          <w:b w:val="false"/>
          <w:bCs w:val="false"/>
          <w:i w:val="false"/>
          <w:iCs w:val="false"/>
          <w:sz w:val="22"/>
          <w:szCs w:val="22"/>
        </w:rPr>
        <w:t>, publicada en el Boletín Oficial de la Provincia de Málaga de 3 de diciembre de 2025.</w:t>
      </w:r>
    </w:p>
    <w:p>
      <w:pPr>
        <w:pStyle w:val="Normal"/>
        <w:spacing w:before="0" w:after="200"/>
        <w:rPr/>
      </w:pPr>
      <w:r>
        <w:rPr>
          <w:rFonts w:eastAsia="Calibri" w:cs="Calibri" w:ascii="Calibri" w:hAnsi="Calibri"/>
          <w:b w:val="false"/>
          <w:bCs w:val="false"/>
          <w:i w:val="false"/>
          <w:iCs w:val="false"/>
          <w:sz w:val="22"/>
          <w:szCs w:val="22"/>
        </w:rPr>
        <w:t xml:space="preserve">Segundo. – Que, en la fecha y por el medio indicados en el encabezamiento, esta parte ha realizado el pago íntegro de la liquidación, cuyo justificante se acompaña. Dicho pago se efectúa exclusivamente para evitar la aplicación de recargos e intereses de demora derivados de la falta de ingreso en periodo voluntario, </w:t>
      </w:r>
      <w:r>
        <w:rPr>
          <w:rFonts w:eastAsia="Calibri" w:cs="Calibri" w:ascii="Calibri" w:hAnsi="Calibri"/>
          <w:b/>
          <w:bCs/>
          <w:i w:val="false"/>
          <w:iCs w:val="false"/>
          <w:sz w:val="22"/>
          <w:szCs w:val="22"/>
        </w:rPr>
        <w:t>sin que en ningún caso suponga allanamiento, conformidad ni renuncia</w:t>
      </w:r>
      <w:r>
        <w:rPr>
          <w:rFonts w:eastAsia="Calibri" w:cs="Calibri" w:ascii="Calibri" w:hAnsi="Calibri"/>
          <w:b w:val="false"/>
          <w:bCs w:val="false"/>
          <w:i w:val="false"/>
          <w:iCs w:val="false"/>
          <w:sz w:val="22"/>
          <w:szCs w:val="22"/>
        </w:rPr>
        <w:t xml:space="preserve"> a las acciones y derechos ejercitados en el presente recurso, que quedan expresamente reservados.</w:t>
      </w:r>
    </w:p>
    <w:p>
      <w:pPr>
        <w:pStyle w:val="Normal"/>
        <w:spacing w:before="0" w:after="200"/>
        <w:rPr/>
      </w:pPr>
      <w:r>
        <w:rPr>
          <w:rFonts w:eastAsia="Calibri" w:cs="Calibri" w:ascii="Calibri" w:hAnsi="Calibri"/>
          <w:b w:val="false"/>
          <w:bCs w:val="false"/>
          <w:i w:val="false"/>
          <w:iCs w:val="false"/>
          <w:sz w:val="22"/>
          <w:szCs w:val="22"/>
        </w:rPr>
        <w:t xml:space="preserve">Tercero. – Que, dentro del plazo de un mes desde su notificación, interpone </w:t>
      </w:r>
      <w:r>
        <w:rPr>
          <w:rFonts w:eastAsia="Calibri" w:cs="Calibri" w:ascii="Calibri" w:hAnsi="Calibri"/>
          <w:b/>
          <w:bCs/>
          <w:i w:val="false"/>
          <w:iCs w:val="false"/>
          <w:sz w:val="22"/>
          <w:szCs w:val="22"/>
        </w:rPr>
        <w:t>RECURSO DE REPOSICIÓN</w:t>
      </w:r>
      <w:r>
        <w:rPr>
          <w:rFonts w:eastAsia="Calibri" w:cs="Calibri" w:ascii="Calibri" w:hAnsi="Calibri"/>
          <w:b w:val="false"/>
          <w:bCs w:val="false"/>
          <w:i w:val="false"/>
          <w:iCs w:val="false"/>
          <w:sz w:val="22"/>
          <w:szCs w:val="22"/>
        </w:rPr>
        <w:t xml:space="preserve"> contra la referida liquidación, al amparo del artículo 14 del Texto Refundido de la Ley Reguladora de las Haciendas Locales (Real Decreto Legislativo 2/2004), de aplicación preferente en la materia, y supletoriamente de los artículos 222 a 225 de la Ley 58/2003, General Tributaria, interesando la devolución de ingresos indebidos (arts. 221 y 32 LGT) con sus intereses de demora, en base a los siguientes</w:t>
      </w:r>
    </w:p>
    <w:p>
      <w:pPr>
        <w:pStyle w:val="Normal"/>
        <w:spacing w:before="320" w:after="200"/>
        <w:rPr/>
      </w:pPr>
      <w:r>
        <w:rPr>
          <w:rFonts w:eastAsia="Calibri" w:cs="Calibri" w:ascii="Calibri" w:hAnsi="Calibri"/>
          <w:b/>
          <w:bCs/>
          <w:sz w:val="24"/>
          <w:szCs w:val="24"/>
          <w:u w:val="single"/>
        </w:rPr>
        <w:t>HECHOS</w:t>
      </w:r>
    </w:p>
    <w:p>
      <w:pPr>
        <w:pStyle w:val="Normal"/>
        <w:spacing w:before="0" w:after="200"/>
        <w:rPr/>
      </w:pPr>
      <w:r>
        <w:rPr>
          <w:rFonts w:eastAsia="Calibri" w:cs="Calibri" w:ascii="Calibri" w:hAnsi="Calibri"/>
          <w:b/>
          <w:bCs/>
          <w:i w:val="false"/>
          <w:iCs w:val="false"/>
          <w:sz w:val="22"/>
          <w:szCs w:val="22"/>
        </w:rPr>
        <w:t xml:space="preserve">1. – Metodología de cálculo ajena a la generación de residuos. </w:t>
      </w:r>
      <w:r>
        <w:rPr>
          <w:rFonts w:eastAsia="Calibri" w:cs="Calibri" w:ascii="Calibri" w:hAnsi="Calibri"/>
          <w:b w:val="false"/>
          <w:bCs w:val="false"/>
          <w:i w:val="false"/>
          <w:iCs w:val="false"/>
          <w:sz w:val="22"/>
          <w:szCs w:val="22"/>
        </w:rPr>
        <w:t>La cuota liquidada resulta de la suma acumulativa de cuatro conceptos, según consta en el propio documento de liquidación: (i) una cuota fija, idéntica para todos los sujetos pasivos con independencia de su generación real de residuos; (ii) un tramo variable según el valor catastral del inmueble (“TARIFA_TRAMO_VC”), magnitud que refleja capacidad económica y no generación de residuos; (iii) un tramo variable según la superficie de la vivienda (“TARIFA_TRAMO_SUPERFICIE”), que tampoco guarda relación directa y verificable con la cantidad de residuos generados por sus ocupantes; y (iv) un tramo asociado a la “eficiencia ambiental” de la unidad territorial o zona (“TARIFA_TRAMO_EFICIENCIA”), coeficiente agregado que traslada al contribuyente el comportamiento colectivo de terceros, sobre el que no tiene control ni posibilidad de modificación individual. Ninguno de los cuatro mide, ni siquiera de forma indiciaria, el volumen o la naturaleza de los residuos efectivamente generados por el sujeto pasivo.</w:t>
      </w:r>
    </w:p>
    <w:p>
      <w:pPr>
        <w:pStyle w:val="Normal"/>
        <w:spacing w:before="0" w:after="200"/>
        <w:rPr/>
      </w:pPr>
      <w:r>
        <w:rPr>
          <w:rFonts w:eastAsia="Calibri" w:cs="Calibri" w:ascii="Calibri" w:hAnsi="Calibri"/>
          <w:b/>
          <w:bCs/>
          <w:i w:val="false"/>
          <w:iCs w:val="false"/>
          <w:sz w:val="22"/>
          <w:szCs w:val="22"/>
        </w:rPr>
        <w:t xml:space="preserve">2. – Imposibilidad de comprobar la cuota liquidada. </w:t>
      </w:r>
      <w:r>
        <w:rPr>
          <w:rFonts w:eastAsia="Calibri" w:cs="Calibri" w:ascii="Calibri" w:hAnsi="Calibri"/>
          <w:b w:val="false"/>
          <w:bCs w:val="false"/>
          <w:i w:val="false"/>
          <w:iCs w:val="false"/>
          <w:sz w:val="22"/>
          <w:szCs w:val="22"/>
        </w:rPr>
        <w:t>El documento notificado ofrece los importes resultantes de cada concepto, pero no permite reconstruir ni verificar la operación de la que proceden. En particular, no se identifican: el tramo concreto aplicado al valor catastral ni al de superficie; los coeficientes empleados; la operación aritmética completa; la fecha y fuente de los datos catastrales tomados como base; ni el criterio, cartografía o informe del que resulta la unidad territorial atribuida al inmueble ni su correspondencia con la referencia catastral. Una cifra final, o la mera enumeración de los factores sin explicitar su aplicación, no permite al contribuyente comprobar la deuda ni, por tanto, defenderse frente a ella.</w:t>
      </w:r>
    </w:p>
    <w:p>
      <w:pPr>
        <w:pStyle w:val="Normal"/>
        <w:spacing w:before="0" w:after="200"/>
        <w:rPr/>
      </w:pPr>
      <w:r>
        <w:rPr>
          <w:rFonts w:eastAsia="Calibri" w:cs="Calibri" w:ascii="Calibri" w:hAnsi="Calibri"/>
          <w:b/>
          <w:bCs/>
          <w:i w:val="false"/>
          <w:iCs w:val="false"/>
          <w:sz w:val="22"/>
          <w:szCs w:val="22"/>
        </w:rPr>
        <w:t xml:space="preserve">3. – Ausencia de memoria o informe técnico-económico accesible. </w:t>
      </w:r>
      <w:r>
        <w:rPr>
          <w:rFonts w:eastAsia="Calibri" w:cs="Calibri" w:ascii="Calibri" w:hAnsi="Calibri"/>
          <w:b w:val="false"/>
          <w:bCs w:val="false"/>
          <w:i w:val="false"/>
          <w:iCs w:val="false"/>
          <w:sz w:val="22"/>
          <w:szCs w:val="22"/>
        </w:rPr>
        <w:t>No consta, a disposición del contribuyente en el momento de la notificación, una memoria o informe técnico-económico suficiente, transparente y verificable que justifique, con datos actualizados y trazables, la estructura de costes del servicio (infraestructura, recogida, transporte y tratamiento), su imputación a categorías homogéneas de usuarios y la traslación proporcionada a las tarifas aplicadas. En su defecto, no puede afirmarse que la suma de las cuotas no exceda del coste real o previsible del servicio, ni que exista correlación entre la cuantía exigida y el servicio efectivamente prestado.</w:t>
      </w:r>
    </w:p>
    <w:p>
      <w:pPr>
        <w:pStyle w:val="Normal"/>
        <w:spacing w:before="0" w:after="200"/>
        <w:rPr/>
      </w:pPr>
      <w:r>
        <w:rPr>
          <w:rFonts w:eastAsia="Calibri" w:cs="Calibri" w:ascii="Calibri" w:hAnsi="Calibri"/>
          <w:b/>
          <w:bCs/>
          <w:i w:val="false"/>
          <w:iCs w:val="false"/>
          <w:sz w:val="22"/>
          <w:szCs w:val="22"/>
        </w:rPr>
        <w:t xml:space="preserve">4. – Resultados desproporcionados y ausencia de incentivos individuales. </w:t>
      </w:r>
      <w:r>
        <w:rPr>
          <w:rFonts w:eastAsia="Calibri" w:cs="Calibri" w:ascii="Calibri" w:hAnsi="Calibri"/>
          <w:b w:val="false"/>
          <w:bCs w:val="false"/>
          <w:i w:val="false"/>
          <w:iCs w:val="false"/>
          <w:sz w:val="22"/>
          <w:szCs w:val="22"/>
        </w:rPr>
        <w:t>La configuración adoptada genera resultados desproporcionados y potencialmente discriminatorios entre residentes de distintas unidades territoriales, con diferencias no vinculadas al comportamiento individual de cada sujeto pasivo, y sin que el contribuyente disponga de mecanismo alguno para reducir su cuota modificando su propia conducta (separación, reducción, uso de punto limpio), salvo las reducciones tasadas y de alcance limitado previstas en la propia Ordenanza. Así, una vivienda desocupada soporta la misma cuota que otra de características equivalentes habitada por varias personas.</w:t>
      </w:r>
    </w:p>
    <w:p>
      <w:pPr>
        <w:pStyle w:val="Normal"/>
        <w:spacing w:before="0" w:after="200"/>
        <w:rPr/>
      </w:pPr>
      <w:r>
        <w:rPr>
          <w:rFonts w:eastAsia="Calibri" w:cs="Calibri" w:ascii="Calibri" w:hAnsi="Calibri"/>
          <w:b/>
          <w:bCs/>
          <w:i w:val="false"/>
          <w:iCs w:val="false"/>
          <w:sz w:val="22"/>
          <w:szCs w:val="22"/>
        </w:rPr>
        <w:t xml:space="preserve">5. – Falta de motivación de la liquidación. </w:t>
      </w:r>
      <w:r>
        <w:rPr>
          <w:rFonts w:eastAsia="Calibri" w:cs="Calibri" w:ascii="Calibri" w:hAnsi="Calibri"/>
          <w:b w:val="false"/>
          <w:bCs w:val="false"/>
          <w:i w:val="false"/>
          <w:iCs w:val="false"/>
          <w:sz w:val="22"/>
          <w:szCs w:val="22"/>
        </w:rPr>
        <w:t>La liquidación recurrida carece de motivación suficiente sobre los elementos esenciales de cuantificación aplicados al caso concreto, y no incorpora con claridad extremos exigibles a todo acto liquidatorio, tales como el órgano que lo dicta y la competencia con que actúa, su carácter provisional o definitivo, y los datos, tramos, coeficientes, operaciones y fuentes utilizados para obtener la cuota. Ello impide el control por el ciudadano y el pleno ejercicio de su derecho de defensa.</w:t>
      </w:r>
    </w:p>
    <w:p>
      <w:pPr>
        <w:pStyle w:val="Normal"/>
        <w:spacing w:before="0" w:after="200"/>
        <w:rPr/>
      </w:pPr>
      <w:r>
        <w:rPr>
          <w:rFonts w:eastAsia="Calibri" w:cs="Calibri" w:ascii="Calibri" w:hAnsi="Calibri"/>
          <w:b/>
          <w:bCs/>
          <w:i w:val="false"/>
          <w:iCs w:val="false"/>
          <w:sz w:val="22"/>
          <w:szCs w:val="22"/>
        </w:rPr>
        <w:t xml:space="preserve">6. – Tramitación de la Ordenanza: publicidad del expediente. </w:t>
      </w:r>
      <w:r>
        <w:rPr>
          <w:rFonts w:eastAsia="Calibri" w:cs="Calibri" w:ascii="Calibri" w:hAnsi="Calibri"/>
          <w:b w:val="false"/>
          <w:bCs w:val="false"/>
          <w:i w:val="false"/>
          <w:iCs w:val="false"/>
          <w:sz w:val="22"/>
          <w:szCs w:val="22"/>
        </w:rPr>
        <w:t>Consta que: (i) el Ayuntamiento Pleno aprobó provisionalmente la imposición y ordenación de la tasa en sesión de 31 de marzo de 2025; (ii) el anuncio de exposición pública se publicó en el Boletín Oficial de la Provincia de Málaga núm. 70, de 11 de abril de 2025, con plazo de alegaciones hasta el 28 de mayo de 2025; y (iii) la página de información pública habilitada en la web municipal (mod=informacion-publica, id=133) únicamente puso a disposición para consulta y descarga el certificado del acuerdo plenario y los textos borrador de las dos ordenanzas fiscales. El propio certificado del acuerdo plenario reconoce expresamente que en el expediente obraban, además, un informe del Jefe de Servicio de Gestión e Inspección Tributaria de 12 de marzo de 2025, un informe técnico adicional y el Informe Técnico-Económico de igual fecha; ninguno de los tres figura entre los archivos publicados. No consta, por tanto, que el Informe Técnico-Económico –documento que sustenta el sistema de cálculo de la cuota fija y variable– se pusiera a disposición general de los interesados por medios telemáticos durante el trámite, sin perjuicio de que el acuerdo previera la posibilidad de examen presencial del expediente durante el plazo de treinta (30) días hábiles.</w:t>
      </w:r>
    </w:p>
    <w:p>
      <w:pPr>
        <w:pStyle w:val="Normal"/>
        <w:spacing w:before="0" w:after="200"/>
        <w:rPr/>
      </w:pPr>
      <w:r>
        <w:rPr>
          <w:rFonts w:eastAsia="Calibri" w:cs="Calibri" w:ascii="Calibri" w:hAnsi="Calibri"/>
          <w:b/>
          <w:bCs/>
          <w:i w:val="false"/>
          <w:iCs w:val="false"/>
          <w:sz w:val="22"/>
          <w:szCs w:val="22"/>
        </w:rPr>
        <w:t xml:space="preserve">7. – Acceso efectivo al expediente durante la información pública. </w:t>
      </w:r>
      <w:r>
        <w:rPr>
          <w:rFonts w:eastAsia="Calibri" w:cs="Calibri" w:ascii="Calibri" w:hAnsi="Calibri"/>
          <w:b w:val="false"/>
          <w:bCs w:val="false"/>
          <w:i w:val="false"/>
          <w:iCs w:val="false"/>
          <w:sz w:val="22"/>
          <w:szCs w:val="22"/>
        </w:rPr>
        <w:t>Refuerza lo anterior el hecho, documentado en la resolución municipal de contestación a las reclamaciones de la primera fase del expediente (apartado “Octava.– Solicitud de puesta a disposición de expediente administrativo”), de que el interesado D. Francisco Delgado Bonilla, en escrito de 26 de mayo de 2025, alegó que no se había atendido su petición de vista del expediente, ante lo cual el Ayuntamiento, mediante Resolución n.º 2025020146, de 28 de mayo de 2025, le convocó a comparecer presencialmente en sede administrativa el 5 de junio de 2025, a las 10:30 horas, ampliándole en diez días hábiles el plazo para formular nuevas alegaciones una vez hubiera podido “estudiar el expediente en su totalidad”, y presentando el interesado nuevas reclamaciones el 18 de junio de 2025. Ello acredita que el examen completo del expediente exigió, cuando menos para uno de los interesados, solicitud expresa, convocatoria formal y comparecencia presencial en fecha y hora determinadas, circunstancia difícilmente conciliable con un acceso abierto, inmediato y en igualdad de condiciones para todos los interesados durante el plazo ordinario, y relevante para valorar si el Informe Técnico-Económico estuvo efectivamente accesible por vía telemática para la generalidad de los vecinos. Todo ello sin que de dicha resolución se desprenda que la solicitud u objeto de examen se refiriera específicamente a dicho informe, ni que este le fuera exhibido de forma singularizada.</w:t>
      </w:r>
    </w:p>
    <w:p>
      <w:pPr>
        <w:pStyle w:val="Normal"/>
        <w:spacing w:before="0" w:after="200"/>
        <w:rPr/>
      </w:pPr>
      <w:r>
        <w:rPr>
          <w:rFonts w:eastAsia="Calibri" w:cs="Calibri" w:ascii="Calibri" w:hAnsi="Calibri"/>
          <w:b/>
          <w:bCs/>
          <w:i w:val="false"/>
          <w:iCs w:val="false"/>
          <w:sz w:val="22"/>
          <w:szCs w:val="22"/>
        </w:rPr>
        <w:t xml:space="preserve">8. – Alegaciones adicionales sobre los datos del inmueble. </w:t>
      </w:r>
      <w:r>
        <w:rPr>
          <w:rFonts w:eastAsia="Calibri" w:cs="Calibri" w:ascii="Calibri" w:hAnsi="Calibri"/>
          <w:b w:val="false"/>
          <w:bCs w:val="false"/>
          <w:i w:val="false"/>
          <w:iCs w:val="false"/>
          <w:sz w:val="22"/>
          <w:szCs w:val="22"/>
        </w:rPr>
        <w:t>(Marque únicamente las que concurran en su caso y pueda acreditar documentalmente; elimine las restantes.)</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Titularidad u ocupación incorrecta a 1 de enero de 2026. El obligado correcto es</w:t>
      </w:r>
      <w:r>
        <w:rPr>
          <w:rFonts w:eastAsia="Calibri" w:cs="Calibri" w:ascii="Calibri" w:hAnsi="Calibri"/>
          <w:sz w:val="22"/>
          <w:szCs w:val="22"/>
          <w:shd w:fill="FFFF00" w:val="clear"/>
        </w:rPr>
        <w:t xml:space="preserve"> [__],</w:t>
      </w:r>
      <w:r>
        <w:rPr>
          <w:rFonts w:eastAsia="Calibri" w:cs="Calibri" w:ascii="Calibri" w:hAnsi="Calibri"/>
          <w:sz w:val="22"/>
          <w:szCs w:val="22"/>
        </w:rPr>
        <w:t xml:space="preserve"> según [DOCUMENTO N.º </w:t>
      </w:r>
      <w:r>
        <w:rPr>
          <w:rFonts w:eastAsia="Calibri" w:cs="Calibri" w:ascii="Calibri" w:hAnsi="Calibri"/>
          <w:sz w:val="22"/>
          <w:szCs w:val="22"/>
          <w:shd w:fill="FFFF00" w:val="clear"/>
        </w:rPr>
        <w:t xml:space="preserve"> __]</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Referencia catastral o dirección incorrecta. El inmueble gravado realmente es </w:t>
      </w:r>
      <w:r>
        <w:rPr>
          <w:rFonts w:eastAsia="Calibri" w:cs="Calibri" w:ascii="Calibri" w:hAnsi="Calibri"/>
          <w:sz w:val="22"/>
          <w:szCs w:val="22"/>
          <w:shd w:fill="FFFF00" w:val="clear"/>
        </w:rPr>
        <w:t xml:space="preserve"> [__]</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Valor catastral incorrecto o tramo mal aplicado. El valor vigente a 1 de enero de 2026 era </w:t>
      </w:r>
      <w:r>
        <w:rPr>
          <w:rFonts w:eastAsia="Calibri" w:cs="Calibri" w:ascii="Calibri" w:hAnsi="Calibri"/>
          <w:sz w:val="22"/>
          <w:szCs w:val="22"/>
          <w:shd w:fill="FFFF00" w:val="clear"/>
        </w:rPr>
        <w:t xml:space="preserve"> [__]</w:t>
      </w:r>
      <w:r>
        <w:rPr>
          <w:rFonts w:eastAsia="Calibri" w:cs="Calibri" w:ascii="Calibri" w:hAnsi="Calibri"/>
          <w:sz w:val="22"/>
          <w:szCs w:val="22"/>
        </w:rPr>
        <w:t xml:space="preserve"> €.</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Superficie incorrecta o tramo mal aplicado. La superficie computable es </w:t>
      </w:r>
      <w:r>
        <w:rPr>
          <w:rFonts w:eastAsia="Calibri" w:cs="Calibri" w:ascii="Calibri" w:hAnsi="Calibri"/>
          <w:sz w:val="22"/>
          <w:szCs w:val="22"/>
          <w:shd w:fill="FFFF00" w:val="clear"/>
        </w:rPr>
        <w:t xml:space="preserve"> [__]</w:t>
      </w:r>
      <w:r>
        <w:rPr>
          <w:rFonts w:eastAsia="Calibri" w:cs="Calibri" w:ascii="Calibri" w:hAnsi="Calibri"/>
          <w:sz w:val="22"/>
          <w:szCs w:val="22"/>
        </w:rPr>
        <w:t xml:space="preserve"> m², según </w:t>
      </w:r>
      <w:r>
        <w:rPr>
          <w:rFonts w:eastAsia="Calibri" w:cs="Calibri" w:ascii="Calibri" w:hAnsi="Calibri"/>
          <w:sz w:val="22"/>
          <w:szCs w:val="22"/>
          <w:shd w:fill="FFFF00" w:val="clear"/>
        </w:rPr>
        <w:t xml:space="preserve"> [__]</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Unidad territorial incorrecta o no motivada. La liquidación indica </w:t>
      </w:r>
      <w:r>
        <w:rPr>
          <w:rFonts w:eastAsia="Calibri" w:cs="Calibri" w:ascii="Calibri" w:hAnsi="Calibri"/>
          <w:sz w:val="22"/>
          <w:szCs w:val="22"/>
          <w:shd w:fill="FFFF00" w:val="clear"/>
        </w:rPr>
        <w:t>[__]</w:t>
      </w:r>
      <w:r>
        <w:rPr>
          <w:rFonts w:eastAsia="Calibri" w:cs="Calibri" w:ascii="Calibri" w:hAnsi="Calibri"/>
          <w:sz w:val="22"/>
          <w:szCs w:val="22"/>
        </w:rPr>
        <w:t>; se solicita acreditar cartografía, criterio y cálculo.</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Duplicidad: se han girado </w:t>
      </w:r>
      <w:r>
        <w:rPr>
          <w:rFonts w:eastAsia="Calibri" w:cs="Calibri" w:ascii="Calibri" w:hAnsi="Calibri"/>
          <w:sz w:val="22"/>
          <w:szCs w:val="22"/>
          <w:shd w:fill="FFFF00" w:val="clear"/>
        </w:rPr>
        <w:t>[__]</w:t>
      </w:r>
      <w:r>
        <w:rPr>
          <w:rFonts w:eastAsia="Calibri" w:cs="Calibri" w:ascii="Calibri" w:hAnsi="Calibri"/>
          <w:sz w:val="22"/>
          <w:szCs w:val="22"/>
        </w:rPr>
        <w:t xml:space="preserve"> cuotas por una única vivienda o unidad real. Se aporta </w:t>
      </w:r>
      <w:r>
        <w:rPr>
          <w:rFonts w:eastAsia="Calibri" w:cs="Calibri" w:ascii="Calibri" w:hAnsi="Calibri"/>
          <w:sz w:val="22"/>
          <w:szCs w:val="22"/>
          <w:shd w:fill="FFFF00" w:val="clear"/>
        </w:rPr>
        <w:t>[__].</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Alta en el uso del servicio posterior al 1 de enero de 2026: procede el prorrateo por trimestres naturales desde [FECHA].</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Reducción o beneficio fiscal solicitado o reconocido y no aplicado. Se aporta resolución o solicitud de fecha </w:t>
      </w:r>
      <w:r>
        <w:rPr>
          <w:rFonts w:eastAsia="Calibri" w:cs="Calibri" w:ascii="Calibri" w:hAnsi="Calibri"/>
          <w:sz w:val="22"/>
          <w:szCs w:val="22"/>
          <w:shd w:fill="FFFF00" w:val="clear"/>
        </w:rPr>
        <w:t>[__].</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El inmueble no constituye vivienda o unidad doméstica independiente, por las siguientes razones: </w:t>
      </w:r>
      <w:r>
        <w:rPr>
          <w:rFonts w:eastAsia="Calibri" w:cs="Calibri" w:ascii="Calibri" w:hAnsi="Calibri"/>
          <w:sz w:val="22"/>
          <w:szCs w:val="22"/>
          <w:shd w:fill="FFFF00" w:val="clear"/>
        </w:rPr>
        <w:t>[__].</w:t>
      </w:r>
    </w:p>
    <w:p>
      <w:pPr>
        <w:pStyle w:val="Normal"/>
        <w:spacing w:before="320" w:after="200"/>
        <w:rPr/>
      </w:pPr>
      <w:r>
        <w:rPr>
          <w:rFonts w:eastAsia="Calibri" w:cs="Calibri" w:ascii="Calibri" w:hAnsi="Calibri"/>
          <w:b/>
          <w:bCs/>
          <w:sz w:val="24"/>
          <w:szCs w:val="24"/>
          <w:u w:val="single"/>
        </w:rPr>
        <w:t>FUNDAMENTOS DE DERECHO</w:t>
      </w:r>
    </w:p>
    <w:p>
      <w:pPr>
        <w:pStyle w:val="Normal"/>
        <w:spacing w:before="0" w:after="200"/>
        <w:rPr/>
      </w:pPr>
      <w:r>
        <w:rPr>
          <w:rFonts w:eastAsia="Calibri" w:cs="Calibri" w:ascii="Calibri" w:hAnsi="Calibri"/>
          <w:b/>
          <w:bCs/>
          <w:i w:val="false"/>
          <w:iCs w:val="false"/>
          <w:sz w:val="22"/>
          <w:szCs w:val="22"/>
        </w:rPr>
        <w:t xml:space="preserve">I. Régimen jurídico y competencia. </w:t>
      </w:r>
      <w:r>
        <w:rPr>
          <w:rFonts w:eastAsia="Calibri" w:cs="Calibri" w:ascii="Calibri" w:hAnsi="Calibri"/>
          <w:b w:val="false"/>
          <w:bCs w:val="false"/>
          <w:i w:val="false"/>
          <w:iCs w:val="false"/>
          <w:sz w:val="22"/>
          <w:szCs w:val="22"/>
        </w:rPr>
        <w:t>El presente recurso se interpone conforme al artículo 14 del Texto Refundido de la Ley Reguladora de las Haciendas Locales (TRLRHL), de aplicación preferente en la materia, y supletoriamente los artículos 222 a 225 de la Ley 58/2003, General Tributaria, contra acto de gestión tributaria y recaudatoria dictado por el Patronato de Recaudación Provincial de Málaga en el ejercicio de las competencias delegadas por el Ayuntamiento de Vélez-Málaga. Se deja constancia expresa de que, en caso de desestimación total o parcial, esta parte se reserva el ejercicio de la impugnación indirecta de la Ordenanza fiscal de la que trae causa la liquidación, al amparo del artículo 26 de la Ley 29/1998, Reguladora de la Jurisdicción Contencioso-Administrativa.</w:t>
      </w:r>
    </w:p>
    <w:p>
      <w:pPr>
        <w:pStyle w:val="Normal"/>
        <w:spacing w:before="0" w:after="200"/>
        <w:rPr/>
      </w:pPr>
      <w:r>
        <w:rPr>
          <w:rFonts w:eastAsia="Calibri" w:cs="Calibri" w:ascii="Calibri" w:hAnsi="Calibri"/>
          <w:b/>
          <w:bCs/>
          <w:i w:val="false"/>
          <w:iCs w:val="false"/>
          <w:sz w:val="22"/>
          <w:szCs w:val="22"/>
        </w:rPr>
        <w:t xml:space="preserve">II. Exigencia de notificación individual completa y motivada de la primera liquidación. </w:t>
      </w:r>
      <w:r>
        <w:rPr>
          <w:rFonts w:eastAsia="Calibri" w:cs="Calibri" w:ascii="Calibri" w:hAnsi="Calibri"/>
          <w:b w:val="false"/>
          <w:bCs w:val="false"/>
          <w:i w:val="false"/>
          <w:iCs w:val="false"/>
          <w:sz w:val="22"/>
          <w:szCs w:val="22"/>
        </w:rPr>
        <w:t xml:space="preserve">Conforme al artículo 102.3 de la Ley General Tributaria, en los tributos de cobro periódico por recibo solo cabe la notificación colectiva de las sucesivas liquidaciones </w:t>
      </w:r>
      <w:r>
        <w:rPr>
          <w:rFonts w:eastAsia="Calibri" w:cs="Calibri" w:ascii="Calibri" w:hAnsi="Calibri"/>
          <w:b w:val="false"/>
          <w:bCs w:val="false"/>
          <w:i/>
          <w:iCs/>
          <w:sz w:val="22"/>
          <w:szCs w:val="22"/>
        </w:rPr>
        <w:t>una vez notificada individualmente</w:t>
      </w:r>
      <w:r>
        <w:rPr>
          <w:rFonts w:eastAsia="Calibri" w:cs="Calibri" w:ascii="Calibri" w:hAnsi="Calibri"/>
          <w:b w:val="false"/>
          <w:bCs w:val="false"/>
          <w:i w:val="false"/>
          <w:iCs w:val="false"/>
          <w:sz w:val="22"/>
          <w:szCs w:val="22"/>
        </w:rPr>
        <w:t xml:space="preserve"> la correspondiente al alta en el respectivo registro, padrón o matrícula. Siendo 2026 el primer ejercicio de exigencia de esta tasa, la liquidación recurrida constituye precisamente esa primera notificación individual, sobre la que pesa una exigencia reforzada de integridad y motivación, según ha declarado el Tribunal Constitucional en su Sentencia 73/1996, de 30 de abril, al precisar que la notificación colectiva presupone una primera liquidación notificada personalmente y sin variación posterior en los elementos esenciales del tributo. Los artículos 102.2 y 103.3 LGT exigen que la liquidación contenga los elementos determinantes de la cuantía de la deuda y esté motivada con expresión de los hechos y fundamentos de derecho; y los artículos 40 y 41 de la Ley 39/2015 exigen que la comunicación permita acreditar su contenido. Una carta de pago permite ingresar una deuda, pero no sustituye por sí sola al acto liquidatorio motivado.</w:t>
      </w:r>
    </w:p>
    <w:p>
      <w:pPr>
        <w:pStyle w:val="Normal"/>
        <w:spacing w:before="0" w:after="200"/>
        <w:rPr/>
      </w:pPr>
      <w:r>
        <w:rPr>
          <w:rFonts w:eastAsia="Calibri" w:cs="Calibri" w:ascii="Calibri" w:hAnsi="Calibri"/>
          <w:b/>
          <w:bCs/>
          <w:i w:val="false"/>
          <w:iCs w:val="false"/>
          <w:sz w:val="22"/>
          <w:szCs w:val="22"/>
        </w:rPr>
        <w:t xml:space="preserve">III. Principio “quien contamina paga” y correlación con el coste del servicio. </w:t>
      </w:r>
      <w:r>
        <w:rPr>
          <w:rFonts w:eastAsia="Calibri" w:cs="Calibri" w:ascii="Calibri" w:hAnsi="Calibri"/>
          <w:b w:val="false"/>
          <w:bCs w:val="false"/>
          <w:i w:val="false"/>
          <w:iCs w:val="false"/>
          <w:sz w:val="22"/>
          <w:szCs w:val="22"/>
        </w:rPr>
        <w:t>La Directiva (UE) 2018/851, de 30 de mayo, que modifica la Directiva 2008/98/CE sobre residuos, establece que, conforme al principio de quien contamina paga, los costes de gestión de residuos –incluida la infraestructura y su funcionamiento– deben imputarse al productor inicial o poseedor, y que las contribuciones no excedan de los costes necesarios, fijados con transparencia (arts. 14 y 8 bis.4.c). Su transposición se ha efectuado mediante la Ley 7/2022, de 8 de abril, de residuos y suelos contaminados para una economía circular, cuyo artículo 11.3 impone a las entidades locales el establecimiento de una tasa específica, diferenciada y no deficitaria, que refleje el coste real –directo e indirecto– de las operaciones de recogida, transporte y tratamiento, y que permita implantar sistemas de pago por generación, con individualización suficiente para alinear incentivos con la prevención y la correcta separación de residuos; mandatos plenamente vigentes y obligatorios para el ejercicio 2026. La doctrina de la Sala de lo Contencioso-Administrativo del Tribunal Supremo (entre otras, la Sentencia 82/2024, de 19 de enero) exige que las tarifas de las tasas locales se justifiquen en parámetros objetivos y razonables, con un reparto de costes entre contribuyentes que responda a criterios de proporcionalidad y motivación suficiente.</w:t>
      </w:r>
    </w:p>
    <w:p>
      <w:pPr>
        <w:pStyle w:val="Normal"/>
        <w:spacing w:before="0" w:after="200"/>
        <w:rPr/>
      </w:pPr>
      <w:r>
        <w:rPr>
          <w:rFonts w:eastAsia="Calibri" w:cs="Calibri" w:ascii="Calibri" w:hAnsi="Calibri"/>
          <w:b/>
          <w:bCs/>
          <w:i w:val="false"/>
          <w:iCs w:val="false"/>
          <w:sz w:val="22"/>
          <w:szCs w:val="22"/>
        </w:rPr>
        <w:t xml:space="preserve">IV. Límites materiales de las tasas locales. </w:t>
      </w:r>
      <w:r>
        <w:rPr>
          <w:rFonts w:eastAsia="Calibri" w:cs="Calibri" w:ascii="Calibri" w:hAnsi="Calibri"/>
          <w:b w:val="false"/>
          <w:bCs w:val="false"/>
          <w:i w:val="false"/>
          <w:iCs w:val="false"/>
          <w:sz w:val="22"/>
          <w:szCs w:val="22"/>
        </w:rPr>
        <w:t>Los artículos 24 y 25 del TRLRHL disponen que las tasas por prestación de servicios no pueden exceder, en su conjunto, del coste real o previsible del servicio, y han de sustentarse en una memoria o informe técnico-económico que cuantifique dicho coste y justifique la estructura tarifaria y su reparto entre categorías de usuarios, de modo que exista una relación razonable entre la cuantía exigida y el servicio efectivamente prestado. Conforme a doctrina consolidada del Tribunal Supremo, dicho informe no puede limitarse a ofrecer datos numéricos o resultados finales, sino que debe contener una explicación razonada y completa de la metodología empleada, con un desglose analítico que justifique la razonabilidad y proporcionalidad de la cuota imputada a cada categoría de usuario. La utilización de magnitudes ajenas al servicio –como el valor catastral o la superficie de la vivienda– o de coeficientes zonales que diluyen el comportamiento individual contraviene la naturaleza de la tasa y su necesaria conexión causal con el coste y la generación de residuos.</w:t>
      </w:r>
    </w:p>
    <w:p>
      <w:pPr>
        <w:pStyle w:val="Normal"/>
        <w:spacing w:before="0" w:after="200"/>
        <w:rPr/>
      </w:pPr>
      <w:r>
        <w:rPr>
          <w:rFonts w:eastAsia="Calibri" w:cs="Calibri" w:ascii="Calibri" w:hAnsi="Calibri"/>
          <w:b/>
          <w:bCs/>
          <w:i w:val="false"/>
          <w:iCs w:val="false"/>
          <w:sz w:val="22"/>
          <w:szCs w:val="22"/>
        </w:rPr>
        <w:t xml:space="preserve">V. Jurisprudencia reciente sobre la publicidad del informe técnico-económico. </w:t>
      </w:r>
      <w:r>
        <w:rPr>
          <w:rFonts w:eastAsia="Calibri" w:cs="Calibri" w:ascii="Calibri" w:hAnsi="Calibri"/>
          <w:b w:val="false"/>
          <w:bCs w:val="false"/>
          <w:i w:val="false"/>
          <w:iCs w:val="false"/>
          <w:sz w:val="22"/>
          <w:szCs w:val="22"/>
        </w:rPr>
        <w:t>La Sección Novena de la Sala de lo Contencioso-Administrativo del Tribunal Superior de Justicia de Madrid, en varias sentencias dictadas el 20 de marzo de 2026 (entre ellas la STSJ Madrid 196/2026, rec. 215/2025), declaró la nulidad de pleno derecho de la Ordenanza Fiscal 8/2024, reguladora de la tasa de gestión de residuos del Ayuntamiento de Madrid, al apreciar que durante el trámite de información pública no se publicó íntegramente el informe técnico-económico que servía de base a la tasa, lo que impidió conocer la trazabilidad entre la generación de residuos y la carga tributaria impuesta a cada categoría de usuarios, calificando dicha omisión como vicio determinante de nulidad radical por vulnerar el derecho de participación y generar indefensión. Si bien dichas sentencias se encuentran recurridas en casación, su fundamentación se apoya en doctrina consolidada del Tribunal Supremo sobre el carácter esencial del informe técnico-económico y su exposición íntegra en el trámite de información pública. Sin prejuzgar la plena equiparación de ambos supuestos, los hechos descritos en los apartados 6 y 7 de este escrito resultan relevantes para valorar si se garantizó en Vélez-Málaga un acceso efectivo, general y en condiciones de igualdad a dicho informe.</w:t>
      </w:r>
    </w:p>
    <w:p>
      <w:pPr>
        <w:pStyle w:val="Normal"/>
        <w:spacing w:before="0" w:after="200"/>
        <w:rPr/>
      </w:pPr>
      <w:r>
        <w:rPr>
          <w:rFonts w:eastAsia="Calibri" w:cs="Calibri" w:ascii="Calibri" w:hAnsi="Calibri"/>
          <w:b/>
          <w:bCs/>
          <w:i w:val="false"/>
          <w:iCs w:val="false"/>
          <w:sz w:val="22"/>
          <w:szCs w:val="22"/>
        </w:rPr>
        <w:t xml:space="preserve">VI. Proporcionalidad, igualdad y prohibición de discriminación. </w:t>
      </w:r>
      <w:r>
        <w:rPr>
          <w:rFonts w:eastAsia="Calibri" w:cs="Calibri" w:ascii="Calibri" w:hAnsi="Calibri"/>
          <w:b w:val="false"/>
          <w:bCs w:val="false"/>
          <w:i w:val="false"/>
          <w:iCs w:val="false"/>
          <w:sz w:val="22"/>
          <w:szCs w:val="22"/>
        </w:rPr>
        <w:t>La adopción de una cuota fija indiferenciada combinada con coeficientes agregados por unidad territorial, sin posibilidad real de modulación por el comportamiento individual del contribuyente, infringe los principios de proporcionalidad e igualdad en la aplicación de los tributos, al no existir justificación objetiva y razonable vinculada a la efectiva generación de residuos del obligado tributario. La ausencia de mecanismos de individualización razonables y de incentivos eficaces a la reducción y separación selectiva desnaturaliza la finalidad ambiental y económica de la tasa.</w:t>
      </w:r>
    </w:p>
    <w:p>
      <w:pPr>
        <w:pStyle w:val="Normal"/>
        <w:spacing w:before="0" w:after="200"/>
        <w:rPr/>
      </w:pPr>
      <w:r>
        <w:rPr>
          <w:rFonts w:eastAsia="Calibri" w:cs="Calibri" w:ascii="Calibri" w:hAnsi="Calibri"/>
          <w:b/>
          <w:bCs/>
          <w:i w:val="false"/>
          <w:iCs w:val="false"/>
          <w:sz w:val="22"/>
          <w:szCs w:val="22"/>
        </w:rPr>
        <w:t xml:space="preserve">VII. Motivación, transparencia y derecho de acceso al expediente. </w:t>
      </w:r>
      <w:r>
        <w:rPr>
          <w:rFonts w:eastAsia="Calibri" w:cs="Calibri" w:ascii="Calibri" w:hAnsi="Calibri"/>
          <w:b w:val="false"/>
          <w:bCs w:val="false"/>
          <w:i w:val="false"/>
          <w:iCs w:val="false"/>
          <w:sz w:val="22"/>
          <w:szCs w:val="22"/>
        </w:rPr>
        <w:t>La liquidación debe estar motivada con referencia expresa a los elementos de cuantificación aplicados, su fuente y justificación, para permitir el control y la defensa del contribuyente; la falta de motivación suficiente vicia el acto y conlleva su anulabilidad, conforme al artículo 35 de la Ley 39/2015 y a los artículos 102 y 103 de la LGT. Asimismo, los artículos 34.1.s) y 99 de la Ley General Tributaria y 53.1.a) de la Ley 39/2015 reconocen al interesado el derecho a obtener copia de los documentos que integran el expediente, cuyo ejercicio resulta imprescindible para formular una defensa plenamente informada.</w:t>
      </w:r>
    </w:p>
    <w:p>
      <w:pPr>
        <w:pStyle w:val="Normal"/>
        <w:spacing w:before="320" w:after="200"/>
        <w:rPr/>
      </w:pPr>
      <w:r>
        <w:rPr>
          <w:rFonts w:eastAsia="Calibri" w:cs="Calibri" w:ascii="Calibri" w:hAnsi="Calibri"/>
          <w:b/>
          <w:bCs/>
          <w:sz w:val="24"/>
          <w:szCs w:val="24"/>
          <w:u w:val="single"/>
        </w:rPr>
        <w:t>Por todo lo cual, SOLICITO:</w:t>
      </w:r>
    </w:p>
    <w:p>
      <w:pPr>
        <w:pStyle w:val="Normal"/>
        <w:spacing w:before="0" w:after="200"/>
        <w:rPr/>
      </w:pPr>
      <w:r>
        <w:rPr>
          <w:rFonts w:eastAsia="Calibri" w:cs="Calibri" w:ascii="Calibri" w:hAnsi="Calibri"/>
          <w:b w:val="false"/>
          <w:bCs w:val="false"/>
          <w:i w:val="false"/>
          <w:iCs w:val="false"/>
          <w:sz w:val="22"/>
          <w:szCs w:val="22"/>
        </w:rPr>
        <w:t>Primero. – Que tenga por presentado este escrito con los documentos que se acompañan, y por interpuesto en tiempo y forma recurso de reposición contra la liquidación identificada en el encabezamiento.</w:t>
      </w:r>
    </w:p>
    <w:p>
      <w:pPr>
        <w:pStyle w:val="Normal"/>
        <w:spacing w:before="0" w:after="200"/>
        <w:rPr/>
      </w:pPr>
      <w:r>
        <w:rPr>
          <w:rFonts w:eastAsia="Calibri" w:cs="Calibri" w:ascii="Calibri" w:hAnsi="Calibri"/>
          <w:b w:val="false"/>
          <w:bCs w:val="false"/>
          <w:i w:val="false"/>
          <w:iCs w:val="false"/>
          <w:sz w:val="22"/>
          <w:szCs w:val="22"/>
        </w:rPr>
        <w:t>Segundo. – Que se facilite a esta parte acceso y copia íntegra del expediente, con expresa inclusión de: (i) el Informe Técnico-Económico de 12 de marzo de 2025 y sus anexos; (ii) las series y fuentes de datos empleadas para fijar la cuota fija y los tramos de valor catastral, superficie y eficiencia territorial; (iii) la cartografía, memoria o informe del que resulta la unidad territorial atribuida al inmueble y su correspondencia con la referencia catastral; y (iv) los criterios de reparto de costes entre categorías de usuarios. Si el expediente contuviera antecedentes no comunicados en la notificación, que se pongan de manifiesto y se conceda trámite para completar alegaciones antes de resolver.</w:t>
      </w:r>
    </w:p>
    <w:p>
      <w:pPr>
        <w:pStyle w:val="Normal"/>
        <w:spacing w:before="0" w:after="200"/>
        <w:rPr/>
      </w:pPr>
      <w:r>
        <w:rPr>
          <w:rFonts w:eastAsia="Calibri" w:cs="Calibri" w:ascii="Calibri" w:hAnsi="Calibri"/>
          <w:b w:val="false"/>
          <w:bCs w:val="false"/>
          <w:i w:val="false"/>
          <w:iCs w:val="false"/>
          <w:sz w:val="22"/>
          <w:szCs w:val="22"/>
        </w:rPr>
        <w:t>Tercero. – Que, previos los trámites oportunos, dicte resolución por la que:</w:t>
      </w:r>
    </w:p>
    <w:p>
      <w:pPr>
        <w:pStyle w:val="Normal"/>
        <w:spacing w:before="0" w:after="100"/>
        <w:rPr/>
      </w:pPr>
      <w:r>
        <w:rPr>
          <w:rFonts w:eastAsia="Calibri" w:cs="Calibri" w:ascii="Calibri" w:hAnsi="Calibri"/>
          <w:b w:val="false"/>
          <w:bCs w:val="false"/>
          <w:i w:val="false"/>
          <w:iCs w:val="false"/>
          <w:sz w:val="22"/>
          <w:szCs w:val="22"/>
        </w:rPr>
        <w:t>a) Se anule la liquidación impugnada por falta de motivación e imposibilidad de comprobar su cuantificación, infracción del principio “quien contamina paga”, falta de correlación con el coste real del servicio, utilización de criterios ajenos a la efectiva generación de residuos e insuficiencia de la memoria técnico-económica.</w:t>
      </w:r>
    </w:p>
    <w:p>
      <w:pPr>
        <w:pStyle w:val="Normal"/>
        <w:spacing w:before="0" w:after="100"/>
        <w:rPr/>
      </w:pPr>
      <w:r>
        <w:rPr>
          <w:rFonts w:eastAsia="Calibri" w:cs="Calibri" w:ascii="Calibri" w:hAnsi="Calibri"/>
          <w:b w:val="false"/>
          <w:bCs w:val="false"/>
          <w:i w:val="false"/>
          <w:iCs w:val="false"/>
          <w:sz w:val="22"/>
          <w:szCs w:val="22"/>
        </w:rPr>
        <w:t>b) Se identifiquen y rectifiquen, en su caso, el valor catastral, la superficie, la unidad territorial, los tramos aplicados, la titularidad y cualquier duplicidad o falta de aplicación de reducciones, conforme a lo alegado en el apartado 8 de los Hechos.</w:t>
      </w:r>
    </w:p>
    <w:p>
      <w:pPr>
        <w:pStyle w:val="Normal"/>
        <w:spacing w:before="0" w:after="200"/>
        <w:rPr/>
      </w:pPr>
      <w:r>
        <w:rPr>
          <w:rFonts w:eastAsia="Calibri" w:cs="Calibri" w:ascii="Calibri" w:hAnsi="Calibri"/>
          <w:b w:val="false"/>
          <w:bCs w:val="false"/>
          <w:i w:val="false"/>
          <w:iCs w:val="false"/>
          <w:sz w:val="22"/>
          <w:szCs w:val="22"/>
        </w:rPr>
        <w:t>c) Se reconozca el derecho a la devolución de los ingresos indebidos, por el importe consignado en el encabezamiento, con abono de los intereses de demora correspondientes desde la fecha del ingreso hasta la de su efectiva devolución.</w:t>
      </w:r>
    </w:p>
    <w:p>
      <w:pPr>
        <w:pStyle w:val="Normal"/>
        <w:spacing w:before="0" w:after="200"/>
        <w:rPr/>
      </w:pPr>
      <w:r>
        <w:rPr>
          <w:rFonts w:eastAsia="Calibri" w:cs="Calibri" w:ascii="Calibri" w:hAnsi="Calibri"/>
          <w:b w:val="false"/>
          <w:bCs w:val="false"/>
          <w:i w:val="false"/>
          <w:iCs w:val="false"/>
          <w:sz w:val="22"/>
          <w:szCs w:val="22"/>
        </w:rPr>
        <w:t>Cuarto. – Que la resolución que se dicte responda expresamente a cada una de las alegaciones formuladas y sea notificada por el medio indicado en el encabezamiento.</w:t>
      </w:r>
    </w:p>
    <w:p>
      <w:pPr>
        <w:pStyle w:val="Normal"/>
        <w:spacing w:before="0" w:after="200"/>
        <w:rPr/>
      </w:pPr>
      <w:r>
        <w:rPr/>
      </w:r>
    </w:p>
    <w:p>
      <w:pPr>
        <w:pStyle w:val="Normal"/>
        <w:spacing w:before="0" w:after="300"/>
        <w:rPr/>
      </w:pPr>
      <w:r>
        <w:rPr>
          <w:rFonts w:eastAsia="Calibri" w:cs="Calibri" w:ascii="Calibri" w:hAnsi="Calibri"/>
          <w:b w:val="false"/>
          <w:bCs w:val="false"/>
          <w:i w:val="false"/>
          <w:iCs w:val="false"/>
          <w:sz w:val="22"/>
          <w:szCs w:val="22"/>
        </w:rPr>
        <w:t>Es Justicia que se pide,</w:t>
      </w:r>
    </w:p>
    <w:p>
      <w:pPr>
        <w:pStyle w:val="Normal"/>
        <w:spacing w:before="0" w:after="600"/>
        <w:rPr/>
      </w:pPr>
      <w:r>
        <w:rPr>
          <w:rFonts w:eastAsia="Calibri" w:cs="Calibri" w:ascii="Calibri" w:hAnsi="Calibri"/>
          <w:b w:val="false"/>
          <w:bCs w:val="false"/>
          <w:i w:val="false"/>
          <w:iCs w:val="false"/>
          <w:sz w:val="22"/>
          <w:szCs w:val="22"/>
        </w:rPr>
        <w:t xml:space="preserve">En Torre del Mar (Vélez-Málaga), a </w:t>
      </w:r>
      <w:r>
        <w:rPr>
          <w:rFonts w:eastAsia="Calibri" w:cs="Calibri" w:ascii="Calibri" w:hAnsi="Calibri"/>
          <w:b w:val="false"/>
          <w:bCs w:val="false"/>
          <w:i w:val="false"/>
          <w:iCs w:val="false"/>
          <w:sz w:val="22"/>
          <w:szCs w:val="22"/>
          <w:shd w:fill="FFFF00" w:val="clear"/>
        </w:rPr>
        <w:t xml:space="preserve">[__] </w:t>
      </w:r>
      <w:r>
        <w:rPr>
          <w:rFonts w:eastAsia="Calibri" w:cs="Calibri" w:ascii="Calibri" w:hAnsi="Calibri"/>
          <w:b/>
          <w:bCs/>
          <w:i w:val="false"/>
          <w:iCs w:val="false"/>
          <w:sz w:val="22"/>
          <w:szCs w:val="22"/>
        </w:rPr>
        <w:t>[DÍA]</w:t>
      </w:r>
      <w:r>
        <w:rPr>
          <w:rFonts w:eastAsia="Calibri" w:cs="Calibri" w:ascii="Calibri" w:hAnsi="Calibri"/>
          <w:b w:val="false"/>
          <w:bCs w:val="false"/>
          <w:i w:val="false"/>
          <w:iCs w:val="false"/>
          <w:sz w:val="22"/>
          <w:szCs w:val="22"/>
        </w:rPr>
        <w:t xml:space="preserve"> de </w:t>
      </w:r>
      <w:r>
        <w:rPr>
          <w:rFonts w:eastAsia="Calibri" w:cs="Calibri" w:ascii="Calibri" w:hAnsi="Calibri"/>
          <w:b/>
          <w:bCs/>
          <w:i w:val="false"/>
          <w:iCs w:val="false"/>
          <w:sz w:val="22"/>
          <w:szCs w:val="22"/>
        </w:rPr>
        <w:t>[MES]</w:t>
      </w:r>
      <w:r>
        <w:rPr>
          <w:rFonts w:eastAsia="Calibri" w:cs="Calibri" w:ascii="Calibri" w:hAnsi="Calibri"/>
          <w:b w:val="false"/>
          <w:bCs w:val="false"/>
          <w:i w:val="false"/>
          <w:iCs w:val="false"/>
          <w:sz w:val="22"/>
          <w:szCs w:val="22"/>
        </w:rPr>
        <w:t xml:space="preserve"> de 2026 </w:t>
        <w:tab/>
      </w:r>
    </w:p>
    <w:p>
      <w:pPr>
        <w:pStyle w:val="Normal"/>
        <w:spacing w:before="0" w:after="100"/>
        <w:jc w:val="end"/>
        <w:rPr/>
      </w:pPr>
      <w:r>
        <w:rPr>
          <w:rFonts w:eastAsia="Calibri" w:cs="Calibri" w:ascii="Calibri" w:hAnsi="Calibri"/>
          <w:b w:val="false"/>
          <w:bCs w:val="false"/>
          <w:i w:val="false"/>
          <w:iCs w:val="false"/>
          <w:sz w:val="22"/>
          <w:szCs w:val="22"/>
          <w:shd w:fill="FFFF00" w:val="clear"/>
        </w:rPr>
        <w:t>[__]</w:t>
      </w:r>
      <w:r>
        <w:rPr>
          <w:rFonts w:eastAsia="Calibri" w:cs="Calibri" w:ascii="Calibri" w:hAnsi="Calibri"/>
          <w:b w:val="false"/>
          <w:bCs w:val="false"/>
          <w:i w:val="false"/>
          <w:iCs w:val="false"/>
          <w:sz w:val="22"/>
          <w:szCs w:val="22"/>
        </w:rPr>
        <w:t>[FIRMA]</w:t>
      </w:r>
    </w:p>
    <w:p>
      <w:pPr>
        <w:pStyle w:val="Normal"/>
        <w:spacing w:before="0" w:after="60"/>
        <w:jc w:val="end"/>
        <w:rPr/>
      </w:pPr>
      <w:r>
        <w:rPr>
          <w:rFonts w:eastAsia="Calibri" w:cs="Calibri" w:ascii="Calibri" w:hAnsi="Calibri"/>
          <w:b w:val="false"/>
          <w:bCs w:val="false"/>
          <w:i w:val="false"/>
          <w:iCs w:val="false"/>
          <w:sz w:val="22"/>
          <w:szCs w:val="22"/>
          <w:shd w:fill="FFFF00" w:val="clear"/>
        </w:rPr>
        <w:t>[__]</w:t>
      </w:r>
      <w:r>
        <w:rPr>
          <w:rFonts w:eastAsia="Calibri" w:cs="Calibri" w:ascii="Calibri" w:hAnsi="Calibri"/>
          <w:b w:val="false"/>
          <w:bCs w:val="false"/>
          <w:i w:val="false"/>
          <w:iCs w:val="false"/>
          <w:sz w:val="22"/>
          <w:szCs w:val="22"/>
        </w:rPr>
        <w:t xml:space="preserve">Fdo.: </w:t>
      </w:r>
      <w:r>
        <w:rPr>
          <w:rFonts w:eastAsia="Calibri" w:cs="Calibri" w:ascii="Calibri" w:hAnsi="Calibri"/>
          <w:b/>
          <w:bCs/>
          <w:i w:val="false"/>
          <w:iCs w:val="false"/>
          <w:sz w:val="22"/>
          <w:szCs w:val="22"/>
        </w:rPr>
        <w:t>[NOMBRE Y APELLIDOS]</w:t>
      </w:r>
    </w:p>
    <w:p>
      <w:pPr>
        <w:pStyle w:val="Normal"/>
        <w:spacing w:before="0" w:after="400"/>
        <w:jc w:val="end"/>
        <w:rPr/>
      </w:pPr>
      <w:r>
        <w:rPr>
          <w:rFonts w:eastAsia="Calibri" w:cs="Calibri" w:ascii="Calibri" w:hAnsi="Calibri"/>
          <w:b w:val="false"/>
          <w:bCs w:val="false"/>
          <w:i w:val="false"/>
          <w:iCs w:val="false"/>
          <w:sz w:val="22"/>
          <w:szCs w:val="22"/>
          <w:shd w:fill="FFFF00" w:val="clear"/>
        </w:rPr>
        <w:t>[__]</w:t>
      </w:r>
      <w:r>
        <w:rPr>
          <w:rFonts w:eastAsia="Calibri" w:cs="Calibri" w:ascii="Calibri" w:hAnsi="Calibri"/>
          <w:b w:val="false"/>
          <w:bCs w:val="false"/>
          <w:i w:val="false"/>
          <w:iCs w:val="false"/>
          <w:sz w:val="22"/>
          <w:szCs w:val="22"/>
        </w:rPr>
        <w:t>DNI/NIE: [NÚMERO]</w:t>
      </w:r>
    </w:p>
    <w:p>
      <w:pPr>
        <w:pStyle w:val="Normal"/>
        <w:spacing w:before="320" w:after="200"/>
        <w:rPr/>
      </w:pPr>
      <w:r>
        <w:rPr>
          <w:rFonts w:eastAsia="Calibri" w:cs="Calibri" w:ascii="Calibri" w:hAnsi="Calibri"/>
          <w:b/>
          <w:bCs/>
          <w:sz w:val="24"/>
          <w:szCs w:val="24"/>
          <w:u w:val="single"/>
        </w:rPr>
        <w:t>DOCUMENTOS QUE SE ACOMPAÑAN</w:t>
      </w:r>
    </w:p>
    <w:p>
      <w:pPr>
        <w:pStyle w:val="Normal"/>
        <w:spacing w:before="0" w:after="80"/>
        <w:rPr/>
      </w:pPr>
      <w:r>
        <w:rPr>
          <w:rFonts w:eastAsia="Calibri" w:cs="Calibri" w:ascii="Calibri" w:hAnsi="Calibri"/>
          <w:b w:val="false"/>
          <w:bCs w:val="false"/>
          <w:i w:val="false"/>
          <w:iCs w:val="false"/>
          <w:sz w:val="22"/>
          <w:szCs w:val="22"/>
        </w:rPr>
        <w:t>Documento n.º 1 – Copia de la liquidación / carta de pago notificada.</w:t>
      </w:r>
    </w:p>
    <w:p>
      <w:pPr>
        <w:pStyle w:val="Normal"/>
        <w:spacing w:before="0" w:after="80"/>
        <w:rPr/>
      </w:pPr>
      <w:r>
        <w:rPr>
          <w:rFonts w:eastAsia="Calibri" w:cs="Calibri" w:ascii="Calibri" w:hAnsi="Calibri"/>
          <w:b w:val="false"/>
          <w:bCs w:val="false"/>
          <w:i w:val="false"/>
          <w:iCs w:val="false"/>
          <w:sz w:val="22"/>
          <w:szCs w:val="22"/>
        </w:rPr>
        <w:t>Documento n.º 2 – Justificante de pago.</w:t>
      </w:r>
    </w:p>
    <w:p>
      <w:pPr>
        <w:pStyle w:val="Normal"/>
        <w:spacing w:before="0" w:after="80"/>
        <w:rPr/>
      </w:pPr>
      <w:r>
        <w:rPr>
          <w:rFonts w:eastAsia="Calibri" w:cs="Calibri" w:ascii="Calibri" w:hAnsi="Calibri"/>
          <w:b w:val="false"/>
          <w:bCs w:val="false"/>
          <w:i w:val="false"/>
          <w:iCs w:val="false"/>
          <w:sz w:val="22"/>
          <w:szCs w:val="22"/>
        </w:rPr>
        <w:t>Documento n.º 3 – Justificante de la fecha de recepción o de acceso a la notificación electrónica.</w:t>
      </w:r>
    </w:p>
    <w:p>
      <w:pPr>
        <w:pStyle w:val="Normal"/>
        <w:spacing w:before="0" w:after="80"/>
        <w:rPr/>
      </w:pPr>
      <w:r>
        <w:rPr>
          <w:rFonts w:eastAsia="Calibri" w:cs="Calibri" w:ascii="Calibri" w:hAnsi="Calibri"/>
          <w:b w:val="false"/>
          <w:bCs w:val="false"/>
          <w:i w:val="false"/>
          <w:iCs w:val="false"/>
          <w:sz w:val="22"/>
          <w:szCs w:val="22"/>
        </w:rPr>
        <w:t>Documento n.º 4 – Copia del DNI/NIE (y, en su caso, acreditación de la representación).</w:t>
      </w:r>
    </w:p>
    <w:p>
      <w:pPr>
        <w:pStyle w:val="Normal"/>
        <w:spacing w:before="0" w:after="300"/>
        <w:rPr/>
      </w:pPr>
      <w:r>
        <w:rPr>
          <w:rFonts w:eastAsia="Calibri" w:cs="Calibri" w:ascii="Calibri" w:hAnsi="Calibri"/>
          <w:b w:val="false"/>
          <w:bCs w:val="false"/>
          <w:i w:val="false"/>
          <w:iCs w:val="false"/>
          <w:sz w:val="22"/>
          <w:szCs w:val="22"/>
        </w:rPr>
        <w:t>Documento n.º 5 – [Documentación acreditativa de los errores alegados en el apartado 8, si procede].</w:t>
      </w:r>
    </w:p>
    <w:p>
      <w:pPr>
        <w:pStyle w:val="Normal"/>
        <w:spacing w:before="320" w:after="200"/>
        <w:rPr>
          <w:rFonts w:ascii="Calibri" w:hAnsi="Calibri" w:eastAsia="Calibri" w:cs="Calibri"/>
          <w:b w:val="false"/>
          <w:bCs w:val="false"/>
          <w:i w:val="false"/>
          <w:iCs w:val="false"/>
          <w:sz w:val="22"/>
          <w:szCs w:val="22"/>
          <w:u w:val="single"/>
        </w:rPr>
      </w:pPr>
      <w:r>
        <w:rPr>
          <w:rFonts w:eastAsia="Calibri" w:cs="Calibri" w:ascii="Calibri" w:hAnsi="Calibri"/>
          <w:b w:val="false"/>
          <w:bCs w:val="false"/>
          <w:i w:val="false"/>
          <w:iCs w:val="false"/>
          <w:sz w:val="22"/>
          <w:szCs w:val="22"/>
          <w:u w:val="single"/>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Calibri">
    <w:charset w:val="01"/>
    <w:family w:val="roman"/>
    <w:pitch w:val="variable"/>
  </w:font>
</w:fonts>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es-E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NSimSun" w:cs="Arial"/>
      <w:color w:val="auto"/>
      <w:kern w:val="0"/>
      <w:sz w:val="20"/>
      <w:szCs w:val="20"/>
      <w:lang w:val="es-ES" w:eastAsia="zh-CN" w:bidi="hi-IN"/>
    </w:rPr>
  </w:style>
  <w:style w:type="paragraph" w:styleId="Heading1">
    <w:name w:val="heading 1"/>
    <w:basedOn w:val="Ttulouser"/>
    <w:qFormat/>
    <w:pPr/>
    <w:rPr>
      <w:color w:val="2E74B5"/>
      <w:sz w:val="32"/>
      <w:szCs w:val="32"/>
    </w:rPr>
  </w:style>
  <w:style w:type="paragraph" w:styleId="Heading2">
    <w:name w:val="heading 2"/>
    <w:basedOn w:val="Ttulouser"/>
    <w:qFormat/>
    <w:pPr/>
    <w:rPr>
      <w:color w:val="2E74B5"/>
      <w:sz w:val="26"/>
      <w:szCs w:val="26"/>
    </w:rPr>
  </w:style>
  <w:style w:type="paragraph" w:styleId="Heading3">
    <w:name w:val="heading 3"/>
    <w:basedOn w:val="Ttulouser"/>
    <w:qFormat/>
    <w:pPr/>
    <w:rPr>
      <w:color w:val="1F4D78"/>
      <w:sz w:val="24"/>
      <w:szCs w:val="24"/>
    </w:rPr>
  </w:style>
  <w:style w:type="paragraph" w:styleId="Heading4">
    <w:name w:val="heading 4"/>
    <w:basedOn w:val="Ttulouser"/>
    <w:qFormat/>
    <w:pPr/>
    <w:rPr>
      <w:i/>
      <w:iCs/>
      <w:color w:val="2E74B5"/>
    </w:rPr>
  </w:style>
  <w:style w:type="paragraph" w:styleId="Heading5">
    <w:name w:val="heading 5"/>
    <w:basedOn w:val="Ttulouser"/>
    <w:qFormat/>
    <w:pPr/>
    <w:rPr>
      <w:color w:val="2E74B5"/>
    </w:rPr>
  </w:style>
  <w:style w:type="paragraph" w:styleId="Heading6">
    <w:name w:val="heading 6"/>
    <w:basedOn w:val="Ttulouser"/>
    <w:qFormat/>
    <w:pPr/>
    <w:rPr>
      <w:color w:val="1F4D78"/>
    </w:rPr>
  </w:style>
  <w:style w:type="character" w:styleId="Hyperlink">
    <w:name w:val="Hyperlink"/>
    <w:uiPriority w:val="99"/>
    <w:unhideWhenUsed/>
    <w:rPr>
      <w:color w:val="0563C1"/>
      <w:u w:val="single"/>
    </w:rPr>
  </w:style>
  <w:style w:type="character" w:styleId="Caracteresdenotaalpieuser">
    <w:name w:val="Caracteres de nota al pie (user)"/>
    <w:uiPriority w:val="99"/>
    <w:semiHidden/>
    <w:unhideWhenUsed/>
    <w:qFormat/>
    <w:rPr>
      <w:vertAlign w:val="superscript"/>
    </w:rPr>
  </w:style>
  <w:style w:type="character" w:styleId="Caracteresdenotaalpie">
    <w:name w:val="Caracteres de nota al pie"/>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character" w:styleId="Caracteresdenotafinaluser">
    <w:name w:val="Caracteres de nota final (user)"/>
    <w:uiPriority w:val="99"/>
    <w:semiHidden/>
    <w:unhideWhenUsed/>
    <w:qFormat/>
    <w:rPr>
      <w:vertAlign w:val="superscript"/>
    </w:rPr>
  </w:style>
  <w:style w:type="character" w:styleId="Caracteresdenotafinal">
    <w:name w:val="Caracteres de nota final"/>
    <w:rPr>
      <w:vertAlign w:val="superscript"/>
    </w:rPr>
  </w:style>
  <w:style w:type="character" w:styleId="EndnoteReference">
    <w:name w:val="endnote reference"/>
    <w:rPr>
      <w:vertAlign w:val="superscript"/>
    </w:rPr>
  </w:style>
  <w:style w:type="character" w:styleId="EndnoteTextChar">
    <w:name w:val="Endnote Text Char"/>
    <w:uiPriority w:val="99"/>
    <w:semiHidden/>
    <w:unhideWhenUsed/>
    <w:qFormat/>
    <w:rPr>
      <w:sz w:val="20"/>
      <w:szCs w:val="20"/>
    </w:rPr>
  </w:style>
  <w:style w:type="character" w:styleId="Emphasis">
    <w:name w:val="Emphasis"/>
    <w:rPr>
      <w:i/>
      <w:iCs/>
    </w:rPr>
  </w:style>
  <w:style w:type="paragraph" w:styleId="Ttulo">
    <w:name w:val="Título"/>
    <w:basedOn w:val="Normal"/>
    <w:next w:val="BodyTex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pPr>
      <w:suppressLineNumbers/>
    </w:pPr>
    <w:rPr>
      <w:rFonts w:cs="Arial"/>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Title">
    <w:name w:val="Title"/>
    <w:basedOn w:val="Ttulouser"/>
    <w:qFormat/>
    <w:pPr/>
    <w:rPr>
      <w:sz w:val="56"/>
      <w:szCs w:val="56"/>
    </w:rPr>
  </w:style>
  <w:style w:type="paragraph" w:styleId="StrongEmphasis">
    <w:name w:val="Strong Emphasis"/>
    <w:qFormat/>
    <w:pPr>
      <w:widowControl/>
      <w:suppressAutoHyphens w:val="true"/>
      <w:bidi w:val="0"/>
      <w:spacing w:before="0" w:after="0"/>
      <w:jc w:val="start"/>
    </w:pPr>
    <w:rPr>
      <w:rFonts w:ascii="Times New Roman" w:hAnsi="Times New Roman" w:eastAsia="NSimSun" w:cs="Arial"/>
      <w:b/>
      <w:bCs/>
      <w:color w:val="auto"/>
      <w:kern w:val="0"/>
      <w:sz w:val="20"/>
      <w:szCs w:val="20"/>
      <w:lang w:val="es-ES" w:eastAsia="zh-CN" w:bidi="hi-IN"/>
    </w:rPr>
  </w:style>
  <w:style w:type="paragraph" w:styleId="ListParagraph">
    <w:name w:val="List Paragraph"/>
    <w:qFormat/>
    <w:pPr>
      <w:widowControl/>
      <w:suppressAutoHyphens w:val="true"/>
      <w:bidi w:val="0"/>
      <w:spacing w:before="0" w:after="0"/>
      <w:jc w:val="start"/>
    </w:pPr>
    <w:rPr>
      <w:rFonts w:ascii="Times New Roman" w:hAnsi="Times New Roman" w:eastAsia="NSimSun" w:cs="Arial"/>
      <w:color w:val="auto"/>
      <w:kern w:val="0"/>
      <w:sz w:val="20"/>
      <w:szCs w:val="20"/>
      <w:lang w:val="es-E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37</TotalTime>
  <Application>LibreOffice/26.8.0.3$Windows_X86_64 LibreOffice_project/bce0998afefdbc355585ca324285661a2170ba77</Application>
  <AppVersion>15.0000</AppVersion>
  <Pages>7</Pages>
  <Words>3308</Words>
  <Characters>18427</Characters>
  <CharactersWithSpaces>21695</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2026-09-11T16:56:28Z</dcterms:created>
  <dc:creator>Un-named</dc:creator>
  <dc:description/>
  <dc:language>es-ES</dc:language>
  <cp:lastModifiedBy/>
  <dcterms:modified xsi:type="dcterms:W3CDTF">2026-09-20T18:41:52Z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